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监督索引号53042600136001800000</w:t>
      </w:r>
    </w:p>
    <w:p>
      <w:pPr>
        <w:spacing w:after="468" w:afterLines="150" w:line="570" w:lineRule="exact"/>
        <w:jc w:val="center"/>
        <w:rPr>
          <w:rFonts w:ascii="Times New Roman" w:eastAsia="方正小标宋_GBK" w:hAnsi="Times New Roman" w:cs="Times New Roman" w:hint="default"/>
          <w:sz w:val="44"/>
          <w:szCs w:val="44"/>
        </w:rPr>
      </w:pPr>
      <w:bookmarkStart w:id="0" w:name="_GoBack"/>
      <w:bookmarkEnd w:id="0"/>
      <w:r>
        <w:rPr>
          <w:rFonts w:ascii="Times New Roman" w:eastAsia="方正小标宋_GBK" w:hAnsi="Times New Roman" w:cs="Times New Roman" w:hint="default"/>
          <w:sz w:val="44"/>
          <w:szCs w:val="44"/>
        </w:rPr>
        <w:t>峨山彝族自治县塔甸中学</w:t>
      </w:r>
      <w:r>
        <w:rPr>
          <w:rFonts w:ascii="Times New Roman" w:eastAsia="方正小标宋_GBK" w:hAnsi="Times New Roman" w:cs="Times New Roman" w:hint="default"/>
          <w:sz w:val="44"/>
          <w:szCs w:val="44"/>
          <w:lang w:eastAsia="zh-CN"/>
        </w:rPr>
        <w:t>2025</w:t>
      </w:r>
      <w:r>
        <w:rPr>
          <w:rFonts w:ascii="Times New Roman" w:eastAsia="方正小标宋_GBK" w:hAnsi="Times New Roman" w:cs="Times New Roman" w:hint="default"/>
          <w:sz w:val="44"/>
          <w:szCs w:val="44"/>
        </w:rPr>
        <w:t>年部门预算公开目录</w:t>
      </w:r>
    </w:p>
    <w:p>
      <w:pPr>
        <w:spacing w:line="570" w:lineRule="exact"/>
        <w:jc w:val="left"/>
        <w:rPr>
          <w:rFonts w:ascii="Times New Roman" w:eastAsia="黑体" w:hAnsi="Times New Roman" w:cs="Times New Roman" w:hint="default"/>
          <w:sz w:val="32"/>
          <w:szCs w:val="32"/>
        </w:rPr>
      </w:pPr>
      <w:r>
        <w:rPr>
          <w:rFonts w:ascii="Times New Roman" w:eastAsia="黑体" w:hAnsi="Times New Roman" w:cs="Times New Roman" w:hint="default"/>
          <w:sz w:val="32"/>
          <w:szCs w:val="32"/>
        </w:rPr>
        <w:t>第一部分</w:t>
      </w:r>
      <w:r>
        <w:rPr>
          <w:rFonts w:ascii="Times New Roman" w:eastAsia="黑体" w:hAnsi="Times New Roman" w:cs="Times New Roman" w:hint="default"/>
          <w:sz w:val="32"/>
          <w:szCs w:val="32"/>
          <w:lang w:val="en-US" w:eastAsia="zh-CN"/>
        </w:rPr>
        <w:t xml:space="preserve"> </w:t>
      </w:r>
      <w:r>
        <w:rPr>
          <w:rFonts w:ascii="Times New Roman" w:eastAsia="黑体" w:hAnsi="Times New Roman" w:cs="Times New Roman" w:hint="default"/>
          <w:sz w:val="32"/>
          <w:szCs w:val="32"/>
        </w:rPr>
        <w:t>峨山彝族自治县塔甸中学</w:t>
      </w:r>
      <w:r>
        <w:rPr>
          <w:rFonts w:ascii="Times New Roman" w:eastAsia="黑体" w:hAnsi="Times New Roman" w:cs="Times New Roman" w:hint="default"/>
          <w:sz w:val="32"/>
          <w:szCs w:val="32"/>
          <w:lang w:eastAsia="zh-CN"/>
        </w:rPr>
        <w:t>2025</w:t>
      </w:r>
      <w:r>
        <w:rPr>
          <w:rFonts w:ascii="Times New Roman" w:eastAsia="黑体" w:hAnsi="Times New Roman" w:cs="Times New Roman" w:hint="default"/>
          <w:sz w:val="32"/>
          <w:szCs w:val="32"/>
        </w:rPr>
        <w:t>年部门预算编制说明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一、基本职能及主要工作</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二、预算单位基本情况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三、预算单位收入情况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val="en-US" w:eastAsia="zh-CN"/>
        </w:rPr>
        <w:t>四、</w:t>
      </w:r>
      <w:r>
        <w:rPr>
          <w:rFonts w:ascii="Times New Roman" w:eastAsia="仿宋_GB2312" w:hAnsi="Times New Roman" w:cs="Times New Roman" w:hint="default"/>
          <w:kern w:val="0"/>
          <w:sz w:val="32"/>
          <w:szCs w:val="32"/>
        </w:rPr>
        <w:t>预算单位支出情况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val="en-US" w:eastAsia="zh-CN"/>
        </w:rPr>
        <w:t>五、</w:t>
      </w:r>
      <w:r>
        <w:rPr>
          <w:rFonts w:ascii="Times New Roman" w:eastAsia="仿宋_GB2312" w:hAnsi="Times New Roman" w:cs="Times New Roman" w:hint="default"/>
          <w:kern w:val="0"/>
          <w:sz w:val="32"/>
          <w:szCs w:val="32"/>
          <w:lang w:eastAsia="zh-CN"/>
        </w:rPr>
        <w:t>对下</w:t>
      </w:r>
      <w:r>
        <w:rPr>
          <w:rFonts w:ascii="Times New Roman" w:eastAsia="仿宋_GB2312" w:hAnsi="Times New Roman" w:cs="Times New Roman" w:hint="default"/>
          <w:kern w:val="0"/>
          <w:sz w:val="32"/>
          <w:szCs w:val="32"/>
        </w:rPr>
        <w:t>专项转移支付情况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val="en-US" w:eastAsia="zh-CN"/>
        </w:rPr>
        <w:t>六、</w:t>
      </w:r>
      <w:r>
        <w:rPr>
          <w:rFonts w:ascii="Times New Roman" w:eastAsia="仿宋_GB2312" w:hAnsi="Times New Roman" w:cs="Times New Roman" w:hint="default"/>
          <w:kern w:val="0"/>
          <w:sz w:val="32"/>
          <w:szCs w:val="32"/>
        </w:rPr>
        <w:t>政府采购预算情况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黑体" w:hAnsi="Times New Roman" w:cs="Times New Roman" w:hint="default"/>
          <w:sz w:val="32"/>
          <w:szCs w:val="32"/>
        </w:rPr>
      </w:pPr>
      <w:r>
        <w:rPr>
          <w:rFonts w:ascii="Times New Roman" w:eastAsia="仿宋_GB2312" w:hAnsi="Times New Roman" w:cs="Times New Roman" w:hint="default"/>
          <w:kern w:val="0"/>
          <w:sz w:val="32"/>
          <w:szCs w:val="32"/>
        </w:rPr>
        <w:t>九、其他公开信息</w:t>
      </w:r>
    </w:p>
    <w:p>
      <w:pPr>
        <w:spacing w:line="570" w:lineRule="exact"/>
        <w:jc w:val="left"/>
        <w:rPr>
          <w:rFonts w:ascii="Times New Roman" w:eastAsia="黑体" w:hAnsi="Times New Roman" w:cs="Times New Roman" w:hint="default"/>
          <w:sz w:val="32"/>
          <w:szCs w:val="32"/>
        </w:rPr>
      </w:pPr>
      <w:r>
        <w:rPr>
          <w:rFonts w:ascii="Times New Roman" w:eastAsia="黑体" w:hAnsi="Times New Roman" w:cs="Times New Roman" w:hint="default"/>
          <w:sz w:val="32"/>
          <w:szCs w:val="32"/>
        </w:rPr>
        <w:t>第二部分</w:t>
      </w:r>
      <w:r>
        <w:rPr>
          <w:rFonts w:ascii="Times New Roman" w:eastAsia="黑体" w:hAnsi="Times New Roman" w:cs="Times New Roman" w:hint="default"/>
          <w:sz w:val="32"/>
          <w:szCs w:val="32"/>
          <w:lang w:val="en-US" w:eastAsia="zh-CN"/>
        </w:rPr>
        <w:t xml:space="preserve"> </w:t>
      </w:r>
      <w:r>
        <w:rPr>
          <w:rFonts w:ascii="Times New Roman" w:eastAsia="黑体" w:hAnsi="Times New Roman" w:cs="Times New Roman" w:hint="default"/>
          <w:sz w:val="32"/>
          <w:szCs w:val="32"/>
        </w:rPr>
        <w:t>峨山彝族自治县塔甸中学</w:t>
      </w:r>
      <w:r>
        <w:rPr>
          <w:rFonts w:ascii="Times New Roman" w:eastAsia="黑体" w:hAnsi="Times New Roman" w:cs="Times New Roman" w:hint="default"/>
          <w:sz w:val="32"/>
          <w:szCs w:val="32"/>
          <w:lang w:eastAsia="zh-CN"/>
        </w:rPr>
        <w:t>2025</w:t>
      </w:r>
      <w:r>
        <w:rPr>
          <w:rFonts w:ascii="Times New Roman" w:eastAsia="黑体" w:hAnsi="Times New Roman" w:cs="Times New Roman" w:hint="default"/>
          <w:sz w:val="32"/>
          <w:szCs w:val="32"/>
        </w:rPr>
        <w:t>年部门预算表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一、</w:t>
      </w:r>
      <w:r>
        <w:rPr>
          <w:rFonts w:ascii="Times New Roman" w:eastAsia="仿宋_GB2312" w:hAnsi="Times New Roman" w:cs="Times New Roman" w:hint="default"/>
          <w:kern w:val="0"/>
          <w:sz w:val="32"/>
          <w:szCs w:val="32"/>
          <w:lang w:val="en-US" w:eastAsia="zh-CN"/>
        </w:rPr>
        <w:t>部门</w:t>
      </w:r>
      <w:r>
        <w:rPr>
          <w:rFonts w:ascii="Times New Roman" w:eastAsia="仿宋_GB2312" w:hAnsi="Times New Roman" w:cs="Times New Roman" w:hint="default"/>
          <w:kern w:val="0"/>
          <w:sz w:val="32"/>
          <w:szCs w:val="32"/>
          <w:lang w:eastAsia="zh-CN"/>
        </w:rPr>
        <w:t>财务收支预算总表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二、部门收入</w:t>
      </w:r>
      <w:r>
        <w:rPr>
          <w:rFonts w:ascii="Times New Roman" w:eastAsia="仿宋_GB2312" w:hAnsi="Times New Roman" w:cs="Times New Roman" w:hint="default"/>
          <w:kern w:val="0"/>
          <w:sz w:val="32"/>
          <w:szCs w:val="32"/>
          <w:lang w:eastAsia="zh-CN"/>
        </w:rPr>
        <w:t>预算</w:t>
      </w:r>
      <w:r>
        <w:rPr>
          <w:rFonts w:ascii="Times New Roman" w:eastAsia="仿宋_GB2312" w:hAnsi="Times New Roman" w:cs="Times New Roman" w:hint="default"/>
          <w:kern w:val="0"/>
          <w:sz w:val="32"/>
          <w:szCs w:val="32"/>
        </w:rPr>
        <w:t>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三、部门支出</w:t>
      </w:r>
      <w:r>
        <w:rPr>
          <w:rFonts w:ascii="Times New Roman" w:eastAsia="仿宋_GB2312" w:hAnsi="Times New Roman" w:cs="Times New Roman" w:hint="default"/>
          <w:kern w:val="0"/>
          <w:sz w:val="32"/>
          <w:szCs w:val="32"/>
          <w:lang w:eastAsia="zh-CN"/>
        </w:rPr>
        <w:t>预算</w:t>
      </w:r>
      <w:r>
        <w:rPr>
          <w:rFonts w:ascii="Times New Roman" w:eastAsia="仿宋_GB2312" w:hAnsi="Times New Roman" w:cs="Times New Roman" w:hint="default"/>
          <w:kern w:val="0"/>
          <w:sz w:val="32"/>
          <w:szCs w:val="32"/>
        </w:rPr>
        <w:t>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四、</w:t>
      </w:r>
      <w:r>
        <w:rPr>
          <w:rFonts w:ascii="Times New Roman" w:eastAsia="仿宋_GB2312" w:hAnsi="Times New Roman" w:cs="Times New Roman" w:hint="default"/>
          <w:kern w:val="0"/>
          <w:sz w:val="32"/>
          <w:szCs w:val="32"/>
          <w:lang w:val="en-US" w:eastAsia="zh-CN"/>
        </w:rPr>
        <w:t>部门</w:t>
      </w:r>
      <w:r>
        <w:rPr>
          <w:rFonts w:ascii="Times New Roman" w:eastAsia="仿宋_GB2312" w:hAnsi="Times New Roman" w:cs="Times New Roman" w:hint="default"/>
          <w:kern w:val="0"/>
          <w:sz w:val="32"/>
          <w:szCs w:val="32"/>
        </w:rPr>
        <w:t>财政拨款收支</w:t>
      </w:r>
      <w:r>
        <w:rPr>
          <w:rFonts w:ascii="Times New Roman" w:eastAsia="仿宋_GB2312" w:hAnsi="Times New Roman" w:cs="Times New Roman" w:hint="default"/>
          <w:kern w:val="0"/>
          <w:sz w:val="32"/>
          <w:szCs w:val="32"/>
          <w:lang w:eastAsia="zh-CN"/>
        </w:rPr>
        <w:t>预算总</w:t>
      </w:r>
      <w:r>
        <w:rPr>
          <w:rFonts w:ascii="Times New Roman" w:eastAsia="仿宋_GB2312" w:hAnsi="Times New Roman" w:cs="Times New Roman" w:hint="default"/>
          <w:kern w:val="0"/>
          <w:sz w:val="32"/>
          <w:szCs w:val="32"/>
        </w:rPr>
        <w:t>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lang w:eastAsia="zh-CN"/>
        </w:rPr>
      </w:pPr>
      <w:r>
        <w:rPr>
          <w:rFonts w:ascii="Times New Roman" w:eastAsia="仿宋_GB2312" w:hAnsi="Times New Roman" w:cs="Times New Roman" w:hint="default"/>
          <w:kern w:val="0"/>
          <w:sz w:val="32"/>
          <w:szCs w:val="32"/>
        </w:rPr>
        <w:t>五、一般公共预算支出</w:t>
      </w:r>
      <w:r>
        <w:rPr>
          <w:rFonts w:ascii="Times New Roman" w:eastAsia="仿宋_GB2312" w:hAnsi="Times New Roman" w:cs="Times New Roman" w:hint="default"/>
          <w:kern w:val="0"/>
          <w:sz w:val="32"/>
          <w:szCs w:val="32"/>
          <w:lang w:eastAsia="zh-CN"/>
        </w:rPr>
        <w:t>预算</w:t>
      </w:r>
      <w:r>
        <w:rPr>
          <w:rFonts w:ascii="Times New Roman" w:eastAsia="仿宋_GB2312" w:hAnsi="Times New Roman" w:cs="Times New Roman" w:hint="default"/>
          <w:kern w:val="0"/>
          <w:sz w:val="32"/>
          <w:szCs w:val="32"/>
        </w:rPr>
        <w:t>表</w:t>
      </w:r>
      <w:r>
        <w:rPr>
          <w:rFonts w:ascii="Times New Roman" w:eastAsia="仿宋_GB2312" w:hAnsi="Times New Roman" w:cs="Times New Roman" w:hint="default"/>
          <w:kern w:val="0"/>
          <w:sz w:val="32"/>
          <w:szCs w:val="32"/>
          <w:lang w:eastAsia="zh-CN"/>
        </w:rPr>
        <w:t>（</w:t>
      </w:r>
      <w:r>
        <w:rPr>
          <w:rFonts w:ascii="Times New Roman" w:eastAsia="仿宋_GB2312" w:hAnsi="Times New Roman" w:cs="Times New Roman" w:hint="default"/>
          <w:kern w:val="0"/>
          <w:sz w:val="32"/>
          <w:szCs w:val="32"/>
          <w:lang w:val="en-US" w:eastAsia="zh-CN"/>
        </w:rPr>
        <w:t>按功能科目分类</w:t>
      </w:r>
      <w:r>
        <w:rPr>
          <w:rFonts w:ascii="Times New Roman" w:eastAsia="仿宋_GB2312" w:hAnsi="Times New Roman" w:cs="Times New Roman" w:hint="default"/>
          <w:kern w:val="0"/>
          <w:sz w:val="32"/>
          <w:szCs w:val="32"/>
          <w:lang w:eastAsia="zh-CN"/>
        </w:rPr>
        <w:t>）</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六、一般公共预算“三公”经费支出</w:t>
      </w:r>
      <w:r>
        <w:rPr>
          <w:rFonts w:ascii="Times New Roman" w:eastAsia="仿宋_GB2312" w:hAnsi="Times New Roman" w:cs="Times New Roman" w:hint="default"/>
          <w:kern w:val="0"/>
          <w:sz w:val="32"/>
          <w:szCs w:val="32"/>
          <w:lang w:eastAsia="zh-CN"/>
        </w:rPr>
        <w:t>预算</w:t>
      </w:r>
      <w:r>
        <w:rPr>
          <w:rFonts w:ascii="Times New Roman" w:eastAsia="仿宋_GB2312" w:hAnsi="Times New Roman" w:cs="Times New Roman" w:hint="default"/>
          <w:kern w:val="0"/>
          <w:sz w:val="32"/>
          <w:szCs w:val="32"/>
        </w:rPr>
        <w:t>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eastAsia="zh-CN"/>
        </w:rPr>
        <w:t>七、</w:t>
      </w:r>
      <w:r>
        <w:rPr>
          <w:rFonts w:ascii="Times New Roman" w:eastAsia="仿宋_GB2312" w:hAnsi="Times New Roman" w:cs="Times New Roman" w:hint="default"/>
          <w:kern w:val="0"/>
          <w:sz w:val="32"/>
          <w:szCs w:val="32"/>
          <w:lang w:val="en-US" w:eastAsia="zh-CN"/>
        </w:rPr>
        <w:t>部门</w:t>
      </w:r>
      <w:r>
        <w:rPr>
          <w:rFonts w:ascii="Times New Roman" w:eastAsia="仿宋_GB2312" w:hAnsi="Times New Roman" w:cs="Times New Roman" w:hint="default"/>
          <w:kern w:val="0"/>
          <w:sz w:val="32"/>
          <w:szCs w:val="32"/>
        </w:rPr>
        <w:t>基本支出</w:t>
      </w:r>
      <w:r>
        <w:rPr>
          <w:rFonts w:ascii="Times New Roman" w:eastAsia="仿宋_GB2312" w:hAnsi="Times New Roman" w:cs="Times New Roman" w:hint="default"/>
          <w:kern w:val="0"/>
          <w:sz w:val="32"/>
          <w:szCs w:val="32"/>
          <w:lang w:eastAsia="zh-CN"/>
        </w:rPr>
        <w:t>预算</w:t>
      </w:r>
      <w:r>
        <w:rPr>
          <w:rFonts w:ascii="Times New Roman" w:eastAsia="仿宋_GB2312" w:hAnsi="Times New Roman" w:cs="Times New Roman" w:hint="default"/>
          <w:kern w:val="0"/>
          <w:sz w:val="32"/>
          <w:szCs w:val="32"/>
        </w:rPr>
        <w:t>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lang w:eastAsia="zh-CN"/>
        </w:rPr>
      </w:pPr>
      <w:r>
        <w:rPr>
          <w:rFonts w:ascii="Times New Roman" w:eastAsia="仿宋_GB2312" w:hAnsi="Times New Roman" w:cs="Times New Roman" w:hint="default"/>
          <w:kern w:val="0"/>
          <w:sz w:val="32"/>
          <w:szCs w:val="32"/>
          <w:lang w:eastAsia="zh-CN"/>
        </w:rPr>
        <w:t>八</w:t>
      </w:r>
      <w:r>
        <w:rPr>
          <w:rFonts w:ascii="Times New Roman" w:eastAsia="仿宋_GB2312" w:hAnsi="Times New Roman" w:cs="Times New Roman" w:hint="default"/>
          <w:kern w:val="0"/>
          <w:sz w:val="32"/>
          <w:szCs w:val="32"/>
        </w:rPr>
        <w:t>、</w:t>
      </w:r>
      <w:r>
        <w:rPr>
          <w:rFonts w:ascii="Times New Roman" w:eastAsia="仿宋_GB2312" w:hAnsi="Times New Roman" w:cs="Times New Roman" w:hint="default"/>
          <w:kern w:val="0"/>
          <w:sz w:val="32"/>
          <w:szCs w:val="32"/>
          <w:lang w:val="en-US" w:eastAsia="zh-CN"/>
        </w:rPr>
        <w:t>部门</w:t>
      </w:r>
      <w:r>
        <w:rPr>
          <w:rFonts w:ascii="Times New Roman" w:eastAsia="仿宋_GB2312" w:hAnsi="Times New Roman" w:cs="Times New Roman" w:hint="default"/>
          <w:kern w:val="0"/>
          <w:sz w:val="32"/>
          <w:szCs w:val="32"/>
          <w:lang w:eastAsia="zh-CN"/>
        </w:rPr>
        <w:t>项目支出预算表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eastAsia="zh-CN"/>
        </w:rPr>
        <w:t>九</w:t>
      </w:r>
      <w:r>
        <w:rPr>
          <w:rFonts w:ascii="Times New Roman" w:eastAsia="仿宋_GB2312" w:hAnsi="Times New Roman" w:cs="Times New Roman" w:hint="default"/>
          <w:kern w:val="0"/>
          <w:sz w:val="32"/>
          <w:szCs w:val="32"/>
        </w:rPr>
        <w:t>、</w:t>
      </w:r>
      <w:r>
        <w:rPr>
          <w:rFonts w:ascii="Times New Roman" w:eastAsia="仿宋_GB2312" w:hAnsi="Times New Roman" w:cs="Times New Roman" w:hint="default"/>
          <w:kern w:val="0"/>
          <w:sz w:val="32"/>
          <w:szCs w:val="32"/>
          <w:lang w:val="en-US" w:eastAsia="zh-CN"/>
        </w:rPr>
        <w:t>部门</w:t>
      </w:r>
      <w:r>
        <w:rPr>
          <w:rFonts w:ascii="Times New Roman" w:eastAsia="仿宋_GB2312" w:hAnsi="Times New Roman" w:cs="Times New Roman" w:hint="default"/>
          <w:kern w:val="0"/>
          <w:sz w:val="32"/>
          <w:szCs w:val="32"/>
        </w:rPr>
        <w:t>项目支出绩效目标表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十、</w:t>
      </w:r>
      <w:r>
        <w:rPr>
          <w:rFonts w:ascii="Times New Roman" w:eastAsia="仿宋_GB2312" w:hAnsi="Times New Roman" w:cs="Times New Roman" w:hint="default"/>
          <w:kern w:val="0"/>
          <w:sz w:val="32"/>
          <w:szCs w:val="32"/>
          <w:lang w:val="en-US" w:eastAsia="zh-CN"/>
        </w:rPr>
        <w:t>部门</w:t>
      </w:r>
      <w:r>
        <w:rPr>
          <w:rFonts w:ascii="Times New Roman" w:eastAsia="仿宋_GB2312" w:hAnsi="Times New Roman" w:cs="Times New Roman" w:hint="default"/>
          <w:kern w:val="0"/>
          <w:sz w:val="32"/>
          <w:szCs w:val="32"/>
        </w:rPr>
        <w:t>政府性基金预算支出</w:t>
      </w:r>
      <w:r>
        <w:rPr>
          <w:rFonts w:ascii="Times New Roman" w:eastAsia="仿宋_GB2312" w:hAnsi="Times New Roman" w:cs="Times New Roman" w:hint="default"/>
          <w:kern w:val="0"/>
          <w:sz w:val="32"/>
          <w:szCs w:val="32"/>
          <w:lang w:eastAsia="zh-CN"/>
        </w:rPr>
        <w:t>预算</w:t>
      </w:r>
      <w:r>
        <w:rPr>
          <w:rFonts w:ascii="Times New Roman" w:eastAsia="仿宋_GB2312" w:hAnsi="Times New Roman" w:cs="Times New Roman" w:hint="default"/>
          <w:kern w:val="0"/>
          <w:sz w:val="32"/>
          <w:szCs w:val="32"/>
        </w:rPr>
        <w:t>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十</w:t>
      </w:r>
      <w:r>
        <w:rPr>
          <w:rFonts w:ascii="Times New Roman" w:eastAsia="仿宋_GB2312" w:hAnsi="Times New Roman" w:cs="Times New Roman" w:hint="default"/>
          <w:kern w:val="0"/>
          <w:sz w:val="32"/>
          <w:szCs w:val="32"/>
          <w:lang w:eastAsia="zh-CN"/>
        </w:rPr>
        <w:t>一</w:t>
      </w:r>
      <w:r>
        <w:rPr>
          <w:rFonts w:ascii="Times New Roman" w:eastAsia="仿宋_GB2312" w:hAnsi="Times New Roman" w:cs="Times New Roman" w:hint="default"/>
          <w:kern w:val="0"/>
          <w:sz w:val="32"/>
          <w:szCs w:val="32"/>
        </w:rPr>
        <w:t>、</w:t>
      </w:r>
      <w:r>
        <w:rPr>
          <w:rFonts w:ascii="Times New Roman" w:eastAsia="仿宋_GB2312" w:hAnsi="Times New Roman" w:cs="Times New Roman" w:hint="default"/>
          <w:kern w:val="0"/>
          <w:sz w:val="32"/>
          <w:szCs w:val="32"/>
          <w:lang w:val="en-US" w:eastAsia="zh-CN"/>
        </w:rPr>
        <w:t>部门</w:t>
      </w:r>
      <w:r>
        <w:rPr>
          <w:rFonts w:ascii="Times New Roman" w:eastAsia="仿宋_GB2312" w:hAnsi="Times New Roman" w:cs="Times New Roman" w:hint="default"/>
          <w:kern w:val="0"/>
          <w:sz w:val="32"/>
          <w:szCs w:val="32"/>
        </w:rPr>
        <w:t>政府采购</w:t>
      </w:r>
      <w:r>
        <w:rPr>
          <w:rFonts w:ascii="Times New Roman" w:eastAsia="仿宋_GB2312" w:hAnsi="Times New Roman" w:cs="Times New Roman" w:hint="default"/>
          <w:kern w:val="0"/>
          <w:sz w:val="32"/>
          <w:szCs w:val="32"/>
          <w:lang w:eastAsia="zh-CN"/>
        </w:rPr>
        <w:t>预算</w:t>
      </w:r>
      <w:r>
        <w:rPr>
          <w:rFonts w:ascii="Times New Roman" w:eastAsia="仿宋_GB2312" w:hAnsi="Times New Roman" w:cs="Times New Roman" w:hint="default"/>
          <w:kern w:val="0"/>
          <w:sz w:val="32"/>
          <w:szCs w:val="32"/>
        </w:rPr>
        <w:t>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lang w:eastAsia="zh-CN"/>
        </w:rPr>
        <w:t>十二、</w:t>
      </w:r>
      <w:r>
        <w:rPr>
          <w:rFonts w:ascii="Times New Roman" w:eastAsia="仿宋_GB2312" w:hAnsi="Times New Roman" w:cs="Times New Roman" w:hint="default"/>
          <w:kern w:val="0"/>
          <w:sz w:val="32"/>
          <w:szCs w:val="32"/>
          <w:lang w:val="en-US" w:eastAsia="zh-CN"/>
        </w:rPr>
        <w:t>部门</w:t>
      </w:r>
      <w:r>
        <w:rPr>
          <w:rFonts w:ascii="Times New Roman" w:eastAsia="仿宋_GB2312" w:hAnsi="Times New Roman" w:cs="Times New Roman" w:hint="default"/>
          <w:kern w:val="0"/>
          <w:sz w:val="32"/>
          <w:szCs w:val="32"/>
          <w:lang w:eastAsia="zh-CN"/>
        </w:rPr>
        <w:t>政府购买服务预算表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lang w:eastAsia="zh-CN"/>
        </w:rPr>
      </w:pPr>
      <w:r>
        <w:rPr>
          <w:rFonts w:ascii="Times New Roman" w:eastAsia="仿宋_GB2312" w:hAnsi="Times New Roman" w:cs="Times New Roman" w:hint="default"/>
          <w:kern w:val="0"/>
          <w:sz w:val="32"/>
          <w:szCs w:val="32"/>
        </w:rPr>
        <w:t>十</w:t>
      </w:r>
      <w:r>
        <w:rPr>
          <w:rFonts w:ascii="Times New Roman" w:eastAsia="仿宋_GB2312" w:hAnsi="Times New Roman" w:cs="Times New Roman" w:hint="default"/>
          <w:kern w:val="0"/>
          <w:sz w:val="32"/>
          <w:szCs w:val="32"/>
          <w:lang w:eastAsia="zh-CN"/>
        </w:rPr>
        <w:t>三</w:t>
      </w:r>
      <w:r>
        <w:rPr>
          <w:rFonts w:ascii="Times New Roman" w:eastAsia="仿宋_GB2312" w:hAnsi="Times New Roman" w:cs="Times New Roman" w:hint="default"/>
          <w:kern w:val="0"/>
          <w:sz w:val="32"/>
          <w:szCs w:val="32"/>
        </w:rPr>
        <w:t>、</w:t>
      </w:r>
      <w:r>
        <w:rPr>
          <w:rFonts w:ascii="Times New Roman" w:eastAsia="仿宋_GB2312" w:hAnsi="Times New Roman" w:cs="Times New Roman" w:hint="default"/>
          <w:kern w:val="0"/>
          <w:sz w:val="32"/>
          <w:szCs w:val="32"/>
          <w:lang w:eastAsia="zh-CN"/>
        </w:rPr>
        <w:t>对下转移支付预算表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rPr>
      </w:pPr>
      <w:r>
        <w:rPr>
          <w:rFonts w:ascii="Times New Roman" w:eastAsia="仿宋_GB2312" w:hAnsi="Times New Roman" w:cs="Times New Roman" w:hint="default"/>
          <w:kern w:val="0"/>
          <w:sz w:val="32"/>
          <w:szCs w:val="32"/>
        </w:rPr>
        <w:t>十</w:t>
      </w:r>
      <w:r>
        <w:rPr>
          <w:rFonts w:ascii="Times New Roman" w:eastAsia="仿宋_GB2312" w:hAnsi="Times New Roman" w:cs="Times New Roman" w:hint="default"/>
          <w:kern w:val="0"/>
          <w:sz w:val="32"/>
          <w:szCs w:val="32"/>
          <w:lang w:eastAsia="zh-CN"/>
        </w:rPr>
        <w:t>四</w:t>
      </w:r>
      <w:r>
        <w:rPr>
          <w:rFonts w:ascii="Times New Roman" w:eastAsia="仿宋_GB2312" w:hAnsi="Times New Roman" w:cs="Times New Roman" w:hint="default"/>
          <w:kern w:val="0"/>
          <w:sz w:val="32"/>
          <w:szCs w:val="32"/>
        </w:rPr>
        <w:t>、</w:t>
      </w:r>
      <w:r>
        <w:rPr>
          <w:rFonts w:ascii="Times New Roman" w:eastAsia="仿宋_GB2312" w:hAnsi="Times New Roman" w:cs="Times New Roman" w:hint="default"/>
          <w:kern w:val="0"/>
          <w:sz w:val="32"/>
          <w:szCs w:val="32"/>
          <w:lang w:eastAsia="zh-CN"/>
        </w:rPr>
        <w:t>对下</w:t>
      </w:r>
      <w:r>
        <w:rPr>
          <w:rFonts w:ascii="Times New Roman" w:eastAsia="仿宋_GB2312" w:hAnsi="Times New Roman" w:cs="Times New Roman" w:hint="default"/>
          <w:kern w:val="0"/>
          <w:sz w:val="32"/>
          <w:szCs w:val="32"/>
        </w:rPr>
        <w:t>转移支付绩效目标表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lang w:eastAsia="zh-CN"/>
        </w:rPr>
      </w:pPr>
      <w:r>
        <w:rPr>
          <w:rFonts w:ascii="Times New Roman" w:eastAsia="仿宋_GB2312" w:hAnsi="Times New Roman" w:cs="Times New Roman" w:hint="default"/>
          <w:kern w:val="0"/>
          <w:sz w:val="32"/>
          <w:szCs w:val="32"/>
          <w:lang w:eastAsia="zh-CN"/>
        </w:rPr>
        <w:t>十五、新增资产配置表</w:t>
      </w:r>
    </w:p>
    <w:p>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ascii="Times New Roman" w:eastAsia="仿宋_GB2312" w:hAnsi="Times New Roman" w:cs="Times New Roman" w:hint="default"/>
          <w:kern w:val="0"/>
          <w:sz w:val="32"/>
          <w:szCs w:val="32"/>
          <w:lang w:eastAsia="zh-CN"/>
        </w:rPr>
      </w:pPr>
      <w:r>
        <w:rPr>
          <w:rFonts w:ascii="Times New Roman" w:eastAsia="仿宋_GB2312" w:hAnsi="Times New Roman" w:cs="Times New Roman" w:hint="default"/>
          <w:kern w:val="0"/>
          <w:sz w:val="32"/>
          <w:szCs w:val="32"/>
          <w:lang w:eastAsia="zh-CN"/>
        </w:rPr>
        <w:t>十六、上级补助项目支出预算表</w:t>
      </w:r>
    </w:p>
    <w:p>
      <w:pPr>
        <w:keepNext w:val="0"/>
        <w:keepLines w:val="0"/>
        <w:pageBreakBefore w:val="0"/>
        <w:widowControl w:val="0"/>
        <w:kinsoku/>
        <w:wordWrap/>
        <w:overflowPunct/>
        <w:topLinePunct w:val="0"/>
        <w:autoSpaceDE/>
        <w:autoSpaceDN/>
        <w:bidi w:val="0"/>
        <w:adjustRightInd/>
        <w:snapToGrid/>
        <w:spacing w:after="468" w:afterLines="150" w:line="590" w:lineRule="exact"/>
        <w:ind w:firstLine="0" w:firstLineChars="0"/>
        <w:jc w:val="left"/>
        <w:textAlignment w:val="auto"/>
        <w:rPr>
          <w:rFonts w:ascii="Times New Roman" w:eastAsia="仿宋_GB2312" w:hAnsi="Times New Roman" w:cs="Times New Roman" w:hint="default"/>
          <w:kern w:val="0"/>
          <w:sz w:val="32"/>
          <w:szCs w:val="32"/>
          <w:lang w:eastAsia="zh-CN"/>
        </w:rPr>
      </w:pPr>
      <w:r>
        <w:rPr>
          <w:rFonts w:ascii="Times New Roman" w:eastAsia="仿宋_GB2312" w:hAnsi="Times New Roman" w:cs="Times New Roman" w:hint="default"/>
          <w:kern w:val="0"/>
          <w:sz w:val="32"/>
          <w:szCs w:val="32"/>
          <w:lang w:eastAsia="zh-CN"/>
        </w:rPr>
        <w:t>十七、部门项目支出中期规划预算表</w:t>
      </w:r>
    </w:p>
    <w:p>
      <w:pPr>
        <w:spacing w:after="468" w:afterLines="150" w:line="570" w:lineRule="exact"/>
        <w:jc w:val="center"/>
        <w:rPr>
          <w:rFonts w:ascii="Times New Roman" w:eastAsia="方正小标宋_GBK" w:hAnsi="Times New Roman" w:cs="Times New Roman" w:hint="default"/>
          <w:sz w:val="44"/>
          <w:szCs w:val="44"/>
        </w:rPr>
      </w:pPr>
      <w:r>
        <w:rPr>
          <w:rFonts w:ascii="Times New Roman" w:eastAsia="方正小标宋_GBK" w:hAnsi="Times New Roman" w:cs="Times New Roman" w:hint="default"/>
          <w:sz w:val="44"/>
          <w:szCs w:val="44"/>
        </w:rPr>
        <w:t>峨山彝族自治县塔甸中学</w:t>
      </w:r>
      <w:r>
        <w:rPr>
          <w:rFonts w:ascii="Times New Roman" w:eastAsia="方正小标宋_GBK" w:hAnsi="Times New Roman" w:cs="Times New Roman" w:hint="default"/>
          <w:sz w:val="44"/>
          <w:szCs w:val="44"/>
          <w:lang w:eastAsia="zh-CN"/>
        </w:rPr>
        <w:t>2025</w:t>
      </w:r>
      <w:r>
        <w:rPr>
          <w:rFonts w:ascii="Times New Roman" w:eastAsia="方正小标宋_GBK" w:hAnsi="Times New Roman" w:cs="Times New Roman" w:hint="default"/>
          <w:sz w:val="44"/>
          <w:szCs w:val="44"/>
        </w:rPr>
        <w:t>年部门预算编制说明</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cs="Times New Roman" w:hint="default"/>
          <w:color w:val="auto"/>
          <w:kern w:val="0"/>
          <w:sz w:val="32"/>
          <w:szCs w:val="32"/>
        </w:rPr>
      </w:pPr>
      <w:r>
        <w:rPr>
          <w:rFonts w:ascii="Times New Roman" w:eastAsia="黑体" w:hAnsi="Times New Roman" w:cs="Times New Roman" w:hint="default"/>
          <w:color w:val="auto"/>
          <w:kern w:val="0"/>
          <w:sz w:val="32"/>
          <w:szCs w:val="32"/>
        </w:rPr>
        <w:t>一、基本职能及主要工作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color w:val="auto"/>
          <w:kern w:val="0"/>
          <w:sz w:val="32"/>
          <w:szCs w:val="32"/>
        </w:rPr>
      </w:pPr>
      <w:r>
        <w:rPr>
          <w:rFonts w:ascii="Times New Roman" w:eastAsia="楷体_GB2312" w:hAnsi="Times New Roman" w:cs="Times New Roman" w:hint="default"/>
          <w:color w:val="auto"/>
          <w:kern w:val="0"/>
          <w:sz w:val="32"/>
          <w:szCs w:val="32"/>
        </w:rPr>
        <w:t>（一）部门主要职责</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负责贯彻执行党的教育路线、方针、政策，执行上级教育部门的各种工作指导；负责实施义务教育（中学阶段）的教育教学工作；负责制定和实施学校发展规划和学年工作计划；负责教职工和学生的思想政治教育工作，充分发挥党支部、工会、妇女、共青团、少工委、班主任等组织的作用；负责学校的各项教育教学工作及安全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color w:val="auto"/>
          <w:kern w:val="0"/>
          <w:sz w:val="32"/>
          <w:szCs w:val="32"/>
        </w:rPr>
      </w:pPr>
      <w:r>
        <w:rPr>
          <w:rFonts w:ascii="Times New Roman" w:eastAsia="楷体_GB2312" w:hAnsi="Times New Roman" w:cs="Times New Roman" w:hint="default"/>
          <w:color w:val="auto"/>
          <w:kern w:val="0"/>
          <w:sz w:val="32"/>
          <w:szCs w:val="32"/>
        </w:rPr>
        <w:t>（二）机构设置情况</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峨山彝族自治县塔甸中学共设置6个内设机构，包括：办公室、教务处、德育处、总务处、安全处、教科室。</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所属单位0个。</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color w:val="auto"/>
          <w:kern w:val="0"/>
          <w:sz w:val="32"/>
          <w:szCs w:val="32"/>
        </w:rPr>
      </w:pPr>
      <w:r>
        <w:rPr>
          <w:rFonts w:ascii="Times New Roman" w:eastAsia="楷体_GB2312" w:hAnsi="Times New Roman" w:cs="Times New Roman" w:hint="default"/>
          <w:color w:val="auto"/>
          <w:kern w:val="0"/>
          <w:sz w:val="32"/>
          <w:szCs w:val="32"/>
        </w:rPr>
        <w:t>（三）重点工作概述</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1.负责加强党对学校工作的领导</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牢牢把握把党对学校工作的领导权，认真学习贯彻习近平新时代中国特色社会主义思想，认真贯彻落实党组织领导下的校长负责制，不断加强教育体育系统基层党组织建设。纵深推进教育系统全面从严治党，激励全体师生满怀深情感党恩、颂党情。深化中小学校“育禾苗·感党恩”行动计划，深入开展“云岭红烛·育人先锋”创建活动。把党的建设融入教育教学工作全过程，促进学校整体工作发展。</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2.全面抓好学校德育提升工作</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坚持“立德树人”根本导向，在创新开展“立五德、树五风”学校德育工作。严格落实加强学校思想政治工作及各级各类会议精神，大力开展理想信念教育、爱国爱党教育，引导学生树立正确的“五观”、增强“五个认同”，持续加强和改进学校思想政治工作，进一步加强新时代中小学思想政治课教育。</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3.全面抓好育人质量提升工作</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坚持“巩固、深化、提高、发展”的工作思路，深化改革，推进落实，提升内涵，发展特色，打造高地，力求突破。做好义务教育优质均衡发展监测工作。</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4.全面抓好办学条件提升工作</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推进塔甸中学城乡义务教育学校扩容改造、义务教育薄弱环节改善与能力提升项目建设。</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5.全面抓好新时代教师队伍提升工作</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加大学校内“校长、中层干部、骨干教师、普通教师”四个层面的交流，打破固有的管理模式，形成“县管校用”的教师人事管理新机制，实现教师编制配置上年龄结构、学科结构日趋合理化。多形式开展好教师培训，加强交流合作，内引外联，着力培养“四有好老师”，引领教师队伍高质量发展。</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6.全面抓好控辍保学工作</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建立控辍保学宣传机制、查找机制、跟踪机制和劝返机制。落实学校控辍保学的执法主体责任，充分利用“四步法”，依法劝返，依法控辍。建立控辍保学长效机制，巩固控辍保学成果，提升保学质量。</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7.全面抓好学校安全管理工作</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高度重视学校安全稳定工作，落实安全管理责任制、落实学校安全“周检月查”工作、强化学校安全联系制度、强化信息报告制度、完善学校临时聘用人员政审，持续开展“平安校园”等创建活动，推动实现“三个百分百”的工作目标。时时绷紧安全防范弦，竭力保障师生安全。</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8.全面抓好体育工作</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全面实施全民健身战略，进一步提高竞技水平，群众体育、竞技体育齐推进，打造出了一批有特色、有影响的元旦、春节、青年节、冬季运动会等大众健身活动，全面促进体育工作新发展。</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9.全面抓实常态化疫情防控工作</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坚决克服麻痹思想、厌战情绪、侥幸心理、松劲心态，充分认识恢复正常教育教学秩序对经济社会发展大局的重大意义，全面做好常态化疫情防控下的学校疫情防控工作。</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cs="Times New Roman" w:hint="default"/>
          <w:color w:val="auto"/>
          <w:kern w:val="0"/>
          <w:sz w:val="32"/>
          <w:szCs w:val="32"/>
        </w:rPr>
      </w:pPr>
      <w:r>
        <w:rPr>
          <w:rFonts w:ascii="Times New Roman" w:eastAsia="黑体" w:hAnsi="Times New Roman" w:cs="Times New Roman" w:hint="default"/>
          <w:color w:val="auto"/>
          <w:kern w:val="0"/>
          <w:sz w:val="32"/>
          <w:szCs w:val="32"/>
        </w:rPr>
        <w:t>二、预算单位基本情况</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峨山彝族自治县塔甸中学编制2025年部门预算单位1个。其中：财政全额供给单位1个、差额供给单位0个、定额补助单位0个、自收自支单位0个。财政全额供给单位中行政单位0个、参公单位0个、事业单位1个。</w:t>
      </w:r>
      <w:r>
        <w:rPr>
          <w:rFonts w:eastAsia="仿宋_GB2312" w:cs="Times New Roman" w:hint="eastAsia"/>
          <w:color w:val="auto"/>
          <w:kern w:val="0"/>
          <w:sz w:val="32"/>
          <w:szCs w:val="32"/>
          <w:highlight w:val="none"/>
          <w:lang w:val="en-US" w:eastAsia="zh-CN"/>
        </w:rPr>
        <w:t>截至</w:t>
      </w:r>
      <w:r>
        <w:rPr>
          <w:rFonts w:ascii="Times New Roman" w:eastAsia="仿宋_GB2312" w:hAnsi="Times New Roman" w:cs="Times New Roman" w:hint="default"/>
          <w:color w:val="auto"/>
          <w:kern w:val="0"/>
          <w:sz w:val="32"/>
          <w:szCs w:val="32"/>
          <w:highlight w:val="none"/>
          <w:lang w:val="en-US" w:eastAsia="zh-CN"/>
        </w:rPr>
        <w:t>2024年12月统计，部门基本情况如下：</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在职人员编制42人，其中：行政编制0人，事业编制42人。在职实有42人，其中：财政全额保障42人，财政差额补助0人，财政专户资金、单位资金保障0人。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离退休人员16人，其中：离休0人，退休16人。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车辆编制0辆，实有车辆0辆。</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cs="Times New Roman" w:hint="default"/>
          <w:color w:val="auto"/>
          <w:kern w:val="0"/>
          <w:sz w:val="32"/>
          <w:szCs w:val="32"/>
        </w:rPr>
      </w:pPr>
      <w:r>
        <w:rPr>
          <w:rFonts w:ascii="Times New Roman" w:eastAsia="黑体" w:hAnsi="Times New Roman" w:cs="Times New Roman" w:hint="default"/>
          <w:color w:val="auto"/>
          <w:kern w:val="0"/>
          <w:sz w:val="32"/>
          <w:szCs w:val="32"/>
        </w:rPr>
        <w:t>三、预算单位收入情况</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color w:val="auto"/>
          <w:kern w:val="0"/>
          <w:sz w:val="32"/>
          <w:szCs w:val="32"/>
        </w:rPr>
      </w:pPr>
      <w:r>
        <w:rPr>
          <w:rFonts w:ascii="Times New Roman" w:eastAsia="楷体_GB2312" w:hAnsi="Times New Roman" w:cs="Times New Roman" w:hint="default"/>
          <w:color w:val="auto"/>
          <w:kern w:val="0"/>
          <w:sz w:val="32"/>
          <w:szCs w:val="32"/>
        </w:rPr>
        <w:t>（一）部门财务收入情况</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2025年部门财务总收入7,891,786.62元，其中：一般公共预算7,763,786.62元，政府性基金0.00元，国有资本经营收益0.00元，财政专户管理资金收入0.00元，事业收入0.00元，事业单位经营收入0.00元，上级补助收入0.00元，附属单位上缴收入0.00元，其他收入金 128,000.00元。</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与上年8,308,698.09元对比减少416,913.38元，下降5.02%。主要原因是2025年在职在编人员减少3人，退休人员减少3人，在校学生人数减少64人，综合计算比去年减少416,913.38元。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color w:val="auto"/>
          <w:kern w:val="0"/>
          <w:sz w:val="32"/>
          <w:szCs w:val="32"/>
        </w:rPr>
      </w:pPr>
      <w:r>
        <w:rPr>
          <w:rFonts w:ascii="Times New Roman" w:eastAsia="楷体_GB2312" w:hAnsi="Times New Roman" w:cs="Times New Roman" w:hint="default"/>
          <w:color w:val="auto"/>
          <w:kern w:val="0"/>
          <w:sz w:val="32"/>
          <w:szCs w:val="32"/>
        </w:rPr>
        <w:t>（二）财政拨款收入情况</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2025年部门财政拨款收入7,763,786.62元，其中:本年收入7,763,786.62元，上年结转收入0.00元。本年收入中，一般公共预算财政拨款7,763,786.62元，政府性基金预算财政拨款0.00元，国有资本经营收益财政拨款0.00元。</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与上年8,153,698.09元对比减少389,911.47元，下降4.78%。主要原因是2025年在职在编人员减少3人，退休人员减少2人，在校学生人数减少64人，综合计算比去年减少261,913.38元。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cs="Times New Roman" w:hint="default"/>
          <w:color w:val="auto"/>
          <w:kern w:val="0"/>
          <w:sz w:val="32"/>
          <w:szCs w:val="32"/>
        </w:rPr>
      </w:pPr>
      <w:r>
        <w:rPr>
          <w:rFonts w:ascii="Times New Roman" w:eastAsia="黑体" w:hAnsi="Times New Roman" w:cs="Times New Roman" w:hint="default"/>
          <w:color w:val="auto"/>
          <w:kern w:val="0"/>
          <w:sz w:val="32"/>
          <w:szCs w:val="32"/>
        </w:rPr>
        <w:t>四、预算单位支出情况</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2025年部门预算总支出7,891,786.62元。财政拨款安排支出7,763,786.62元，其中：基本支出7,637,722.06元，与上年8,016,770.69元对比减少379,048.63元，减少4.73%，主要原因是在职人员比去年减少3人，在校学生人数减少64人；项目支出126,064.56元，比去年136,927.40元减少10,862.84元，减少7.93%。主要原因是遗属生活补助、抚恤金支出2025年在项目支出中列支。</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财政拨款安排支出按功能科目分类情况（基本支出）：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2050203初中教育5,586,918.01主要用于初中教育在职人员工资性支出；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2080502事业单位离退休364,800.00元，主要用于事业退休人员生活补助。</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2080505机关事业单位基本养老保险缴费支出694,357.28元，主要用于职工基本养老保险缴费。</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2101102事业单位医疗360,197.84元，主要用于事业单位基本医疗保险及大病补充保险缴费。</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2101199其他行政事业单位医疗支出37,832.93元，主要用于其他事业单位基本医疗保险及大病补充保险缴费。</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2210201住房公积金593,616.00元，主要用于职工住房公积金补贴。</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财政拨款安排支出按功能科目分类情况（项目支出）：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2050203初中教育60,388.56元，主要用于义务教育阶段家庭经济困难学生生活补助、文具费补助、学生营养膳食补助、公用经费。</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2080801死亡抚恤65,676.00元，主要用于职工死亡抚恤。</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财政拨款安排支出按部门经济科目分类情况（基本支出）：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30101基本工资2,088,936.00元，主要用于事业单位在职人员的岗位工资和薪级工资发放；</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30102津贴补贴477,456.00元，主要用于事业单位在职人员的教龄津贴、乡镇补贴、艰边补贴等各项津补贴发放；</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30103奖金16,500.00主要用于奖金支出；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30107绩效工资2,716,800.00元，主要用于事业单位在职人员的基础性绩效工资和奖励性绩效工资发放；</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30108机关事业单位基本养老保险缴费694,357.28元，主要用于事业单位在职人员的基本养老保险缴费；</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30110职工基本医疗保险缴费360,197.84元，主要用于事业单位在职人员的基本医疗保险缴费；</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30112其他社会保障缴费147,458.94元，主要用于事业单位在职人员的失业保险、工伤保险缴费；</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30113住房公积金593,616.00元，主要用于事业单位在职人员的住房公积金缴费；</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30199其他工资福利支出60,000.00元，主要用于事业单位编外人员的工资发放；</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30228工会经费33,600.00元，主要用于事业单位在职人员的工会经费的支出；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30229福利费84,000.00元，主要用于事业单位在职人员的福利费支出；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30299其他商品和服务支出9,600.00元，主要用于事业单位离退休人员的一般公用经费支出；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30302退休费124,800.00元，主要用于事业单位离退休人员的退休人员统筹外养老金支出；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30305生活补助230,400.00元，主要用于事业单位离退休人员生活补助。</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财政拨款安排支出按部门经济科目分类情况（项目支出）：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30201办公费4,234.56元，主要用于公用经费中办公费支出；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30205水费1,080.00元，主要用于水费支出；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30206电费1,584.00元，主要用于电费支出；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30213维修（护）费720.00元，主要用于公用经费中校园维修（护）费支出；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30305生活补助65,676.00元，主要用于事业单位职工遗属和离岗民师生活补助的发放；</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30308助学金52,770.00元，主要用于营养改善、困难学生补助、文具费、十公里外就读路费补助的发放。</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cs="Times New Roman" w:hint="default"/>
          <w:color w:val="auto"/>
          <w:kern w:val="0"/>
          <w:sz w:val="32"/>
          <w:szCs w:val="32"/>
        </w:rPr>
      </w:pPr>
      <w:r>
        <w:rPr>
          <w:rFonts w:ascii="Times New Roman" w:eastAsia="黑体" w:hAnsi="Times New Roman" w:cs="Times New Roman" w:hint="default"/>
          <w:color w:val="auto"/>
          <w:kern w:val="0"/>
          <w:sz w:val="32"/>
          <w:szCs w:val="32"/>
        </w:rPr>
        <w:t>五、</w:t>
      </w:r>
      <w:r>
        <w:rPr>
          <w:rFonts w:ascii="Times New Roman" w:eastAsia="黑体" w:hAnsi="Times New Roman" w:cs="Times New Roman" w:hint="default"/>
          <w:color w:val="auto"/>
          <w:kern w:val="0"/>
          <w:sz w:val="32"/>
          <w:szCs w:val="32"/>
          <w:lang w:val="en-US" w:eastAsia="zh-CN"/>
        </w:rPr>
        <w:t>对下</w:t>
      </w:r>
      <w:r>
        <w:rPr>
          <w:rFonts w:ascii="Times New Roman" w:eastAsia="黑体" w:hAnsi="Times New Roman" w:cs="Times New Roman" w:hint="default"/>
          <w:color w:val="auto"/>
          <w:kern w:val="0"/>
          <w:sz w:val="32"/>
          <w:szCs w:val="32"/>
        </w:rPr>
        <w:t>专项转移支付情况</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无。</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cs="Times New Roman" w:hint="default"/>
          <w:color w:val="auto"/>
          <w:kern w:val="0"/>
          <w:sz w:val="32"/>
          <w:szCs w:val="32"/>
        </w:rPr>
      </w:pPr>
      <w:r>
        <w:rPr>
          <w:rFonts w:ascii="Times New Roman" w:eastAsia="黑体" w:hAnsi="Times New Roman" w:cs="Times New Roman" w:hint="default"/>
          <w:color w:val="auto"/>
          <w:kern w:val="0"/>
          <w:sz w:val="32"/>
          <w:szCs w:val="32"/>
        </w:rPr>
        <w:t>六、政府采购预算情况</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根据《中华人民共和国政府采购法》的有关规定，编制了政府采购预算，共涉及采购项目0个，政府采购预算总额0.00元，其中：政府采购货物预算0.00元、政府采购服务预算0.00元、政府采购工程预算0.00元。</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cs="Times New Roman" w:hint="default"/>
          <w:color w:val="auto"/>
          <w:kern w:val="0"/>
          <w:sz w:val="32"/>
          <w:szCs w:val="32"/>
        </w:rPr>
      </w:pPr>
      <w:r>
        <w:rPr>
          <w:rFonts w:ascii="Times New Roman" w:eastAsia="黑体" w:hAnsi="Times New Roman" w:cs="Times New Roman" w:hint="default"/>
          <w:color w:val="auto"/>
          <w:kern w:val="0"/>
          <w:sz w:val="32"/>
          <w:szCs w:val="32"/>
        </w:rPr>
        <w:t>七、部门“三公”经费增减变化情况及原因说明</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峨山彝族自治县塔甸中学2025年一般公共预算财政拨款“三公”经费预算合计0.00元，较上年增加0.00元，增长0.00%，具体变动情况如下：</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color w:val="auto"/>
          <w:kern w:val="0"/>
          <w:sz w:val="32"/>
          <w:szCs w:val="32"/>
        </w:rPr>
      </w:pPr>
      <w:r>
        <w:rPr>
          <w:rFonts w:ascii="Times New Roman" w:eastAsia="楷体_GB2312" w:hAnsi="Times New Roman" w:cs="Times New Roman" w:hint="default"/>
          <w:color w:val="auto"/>
          <w:kern w:val="0"/>
          <w:sz w:val="32"/>
          <w:szCs w:val="32"/>
        </w:rPr>
        <w:t>（一）因公出国（境）费</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峨山彝族自治县塔甸中学2025年因公出国（境）费预算为0.00元，较上年增加万元，增长%，共计安排因公出国（境）团组0个，因公出国（境）0人次。</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因公出国（境）费与上年对比无变化。</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color w:val="auto"/>
          <w:kern w:val="0"/>
          <w:sz w:val="32"/>
          <w:szCs w:val="32"/>
        </w:rPr>
      </w:pPr>
      <w:r>
        <w:rPr>
          <w:rFonts w:ascii="Times New Roman" w:eastAsia="楷体_GB2312" w:hAnsi="Times New Roman" w:cs="Times New Roman" w:hint="default"/>
          <w:color w:val="auto"/>
          <w:kern w:val="0"/>
          <w:sz w:val="32"/>
          <w:szCs w:val="32"/>
        </w:rPr>
        <w:t>（二）公务接待费</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峨山彝族自治县塔甸中学2025年公务接待费预算为0.00元，较上年增加0.00元，增长0.00%，国内公务接待批次为0次，共计接待0人次。</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公务接待费与上年对比无变化。</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color w:val="auto"/>
          <w:kern w:val="0"/>
          <w:sz w:val="32"/>
          <w:szCs w:val="32"/>
        </w:rPr>
      </w:pPr>
      <w:r>
        <w:rPr>
          <w:rFonts w:ascii="Times New Roman" w:eastAsia="楷体_GB2312" w:hAnsi="Times New Roman" w:cs="Times New Roman" w:hint="default"/>
          <w:color w:val="auto"/>
          <w:kern w:val="0"/>
          <w:sz w:val="32"/>
          <w:szCs w:val="32"/>
        </w:rPr>
        <w:t>（三）公务用车购置及运行维护费</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峨山彝族自治县塔甸中学2025年公务用车购置及运行维护费为0.00元，较上年增加0.00元，增长0.00%。其中：公务用车购置费0.00元，较上年增加0.00元，增长0.00%；公务用车运行维护费0.00元，较上年增加0.00元，增长0.00%。共计购置公务用车0辆，年末公务用车保有量为0辆。</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公务用车购置及运行维护费与上年对比无变化。</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cs="Times New Roman" w:hint="default"/>
          <w:color w:val="auto"/>
          <w:kern w:val="0"/>
          <w:sz w:val="32"/>
          <w:szCs w:val="32"/>
        </w:rPr>
      </w:pPr>
      <w:r>
        <w:rPr>
          <w:rFonts w:ascii="Times New Roman" w:eastAsia="黑体" w:hAnsi="Times New Roman" w:cs="Times New Roman" w:hint="default"/>
          <w:color w:val="auto"/>
          <w:kern w:val="0"/>
          <w:sz w:val="32"/>
          <w:szCs w:val="32"/>
        </w:rPr>
        <w:t>八、重点项目预算绩效目标情况</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1.义务教育家庭经济困难学生生活补助资金项目根据《财政部、教育部关于下达2019年城乡义务教育补助经费预算的通知》（财科教〔2019〕30号）文件精神，玉溪市财政局、玉溪市教育体育局每年下达义务教育家庭经济困难学生生活补助资金，确保建档立卡学生，以及非建档立卡的家庭经济困难残疾学生、农村低保家庭学生、农村特困救助供养学生等四类学生按标准足额获得资助，其余资金用于资助寄宿制除建档立卡等四类学生之外的家庭经济困难学生。义务教育家庭经济困难学生补助标准为：寄宿制家庭经济困难学生(含建档立卡等四类学生）初中1,500.00元/生/学年，非寄宿制建档立卡等四类家庭经济困难学生初中750.00元/生/学年，特殊教育学生1500.00元/生/学年。</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2.农村义务教育学生营养改善计划补助资金项目对峨山县城区因中小学区域布局调整进城就读和因农转城在城区学校就读的学生和城区以外的所有农村义务教育阶段学校学生提供营养膳食补助，改善农村义务教育阶段在校学生的营养状况，提高农村学生健康水平。减轻受助学生家庭经济负担，使学生安心学习，顺利完成学业。补助标准为5.00元∕生/天，全年按在校200天计算。</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城乡义务教育阶段公用经费专项资金项目按照云南省人民政府《关于进一步完善城乡义务教育经费保障机制的通知》（云政发〔2016〕74号）《玉溪市财政局、玉溪市教育局关于转发云南省城乡义务教育学校公用经费管理办法的通知》（玉财教〔2017〕172号）文件精神，城乡义务教育实施标准为小学生600元/生/年。中央、省、市按8:1.4:0.6的比例承担。《玉溪市财政局、玉溪市教育体育局关于下达2020年城乡义务教育补助经费（公用经费）中央直达资金的通知》（玉财教〔2020〕113号）指出：从2023年春季学期起，中西部地区城乡义务教育学校生均公用经费基准定额从年生均初中850.00元，调整为年生均初中940.00元，与东部地区一致。实施范围：城乡义务教育阶段学校学生（含城市学校、民办学校）。特殊教育学校和随班就读残疾学生按照每生每年6,000.00元标准补助公用经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黑体" w:hAnsi="Times New Roman" w:cs="Times New Roman" w:hint="default"/>
          <w:color w:val="auto"/>
          <w:kern w:val="0"/>
          <w:sz w:val="32"/>
          <w:szCs w:val="32"/>
        </w:rPr>
      </w:pPr>
      <w:r>
        <w:rPr>
          <w:rFonts w:ascii="Times New Roman" w:eastAsia="黑体" w:hAnsi="Times New Roman" w:cs="Times New Roman" w:hint="default"/>
          <w:color w:val="auto"/>
          <w:kern w:val="0"/>
          <w:sz w:val="32"/>
          <w:szCs w:val="32"/>
        </w:rPr>
        <w:t>九、其他公开信息</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color w:val="auto"/>
          <w:kern w:val="0"/>
          <w:sz w:val="32"/>
          <w:szCs w:val="32"/>
          <w:lang w:val="en-US" w:eastAsia="zh-CN"/>
        </w:rPr>
      </w:pPr>
      <w:r>
        <w:rPr>
          <w:rFonts w:ascii="Times New Roman" w:eastAsia="楷体_GB2312" w:hAnsi="Times New Roman" w:cs="Times New Roman" w:hint="default"/>
          <w:color w:val="auto"/>
          <w:kern w:val="0"/>
          <w:sz w:val="32"/>
          <w:szCs w:val="32"/>
          <w:lang w:val="en-US" w:eastAsia="zh-CN"/>
        </w:rPr>
        <w:t>（一）专业名词解释</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1、“三公”经费：“三公”经费预算数是指各部门（含下属单位）从年初预算安排用于因公出国（境）费用、公务用车购置及运行维护费、公务接待费用的预算数（包括基本支出和项目支出）。按照有关文件及规定，“三公”经费包括：因公出国（境）费、公务用车购置及运行维护费、公务接待费。因公出国（境）费，指单位工作人员公务出国（境）的住宿费、差旅费、伙食补助费、杂费、培训费等支出；公务接待费，指单位按规定开支的各类公务接待支出；公务用车购置及运行维护费，指单位公务用车购置费及租用费、燃料费、维修费、过路过桥费、保险费等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2、财政拨款收入：指财政当年拨付的资金。</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3、基本支出：指保障机构正常运转、完成日常工作任务而发生的人员支出和公用支出。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4、项目支出：指在基本支出之外为完成特定行政任务和事业发展目标所发生的支出。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5、机关运行经费：指各部门的公用经费，包括办公及印刷费、邮电费、差旅费、会议费、福利费、日常维护费、专用材料费及一般设备购置费、办公用房水电费、办公用房取暖费、办公用房业务管理费、公务用车运行维护费及其他费用。</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color w:val="auto"/>
          <w:kern w:val="0"/>
          <w:sz w:val="32"/>
          <w:szCs w:val="32"/>
          <w:lang w:val="en-US" w:eastAsia="zh-CN"/>
        </w:rPr>
      </w:pPr>
      <w:r>
        <w:rPr>
          <w:rFonts w:ascii="Times New Roman" w:eastAsia="楷体_GB2312" w:hAnsi="Times New Roman" w:cs="Times New Roman" w:hint="default"/>
          <w:color w:val="auto"/>
          <w:kern w:val="0"/>
          <w:sz w:val="32"/>
          <w:szCs w:val="32"/>
          <w:lang w:val="en-US" w:eastAsia="zh-CN"/>
        </w:rPr>
        <w:t>（二）机关运行经费安排变化情况及原因说明</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峨山彝族自治县塔甸中学2025年机关运行经费安排0.00元，与上年对比增加0.00元，增长0.00%。峨山彝族自治县塔甸中学属于事业单位，无机关运行经费。</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Times New Roman" w:eastAsia="楷体_GB2312" w:hAnsi="Times New Roman" w:cs="Times New Roman" w:hint="default"/>
          <w:color w:val="auto"/>
          <w:kern w:val="0"/>
          <w:sz w:val="32"/>
          <w:szCs w:val="32"/>
          <w:lang w:val="en-US" w:eastAsia="zh-CN"/>
        </w:rPr>
      </w:pPr>
      <w:r>
        <w:rPr>
          <w:rFonts w:ascii="Times New Roman" w:eastAsia="楷体_GB2312" w:hAnsi="Times New Roman" w:cs="Times New Roman" w:hint="default"/>
          <w:color w:val="auto"/>
          <w:kern w:val="0"/>
          <w:sz w:val="32"/>
          <w:szCs w:val="32"/>
          <w:lang w:val="en-US" w:eastAsia="zh-CN"/>
        </w:rPr>
        <w:t>（三）国有资产占有使用情况</w:t>
      </w:r>
    </w:p>
    <w:p>
      <w:pPr>
        <w:keepNext w:val="0"/>
        <w:keepLines w:val="0"/>
        <w:pageBreakBefore w:val="0"/>
        <w:widowControl/>
        <w:kinsoku/>
        <w:wordWrap/>
        <w:overflowPunct/>
        <w:topLinePunct w:val="0"/>
        <w:autoSpaceDE/>
        <w:autoSpaceDN/>
        <w:bidi w:val="0"/>
        <w:adjustRightInd/>
        <w:spacing w:line="560" w:lineRule="exact"/>
        <w:ind w:firstLine="600"/>
        <w:jc w:val="both"/>
        <w:textAlignment w:val="auto"/>
        <w:rPr>
          <w:rFonts w:ascii="Times New Roman" w:eastAsia="仿宋_GB2312" w:hAnsi="Times New Roman" w:cs="Times New Roman" w:hint="default"/>
          <w:color w:val="auto"/>
          <w:kern w:val="0"/>
          <w:sz w:val="32"/>
          <w:szCs w:val="32"/>
          <w:highlight w:val="none"/>
          <w:lang w:val="en-US" w:eastAsia="zh-CN"/>
        </w:rPr>
      </w:pPr>
      <w:r>
        <w:rPr>
          <w:rFonts w:ascii="Times New Roman" w:eastAsia="仿宋_GB2312" w:hAnsi="Times New Roman" w:cs="Times New Roman" w:hint="default"/>
          <w:color w:val="auto"/>
          <w:kern w:val="0"/>
          <w:sz w:val="32"/>
          <w:szCs w:val="32"/>
          <w:highlight w:val="none"/>
          <w:lang w:val="en-US" w:eastAsia="zh-CN"/>
        </w:rPr>
        <w:t>截至2023年12月31日，峨山彝族自治县塔甸中学资产总额7,881,000.00元，其中：流动资产770,100.00元，固定资产7,118,900.00元，对外投资及有价证券0.00元，在建工程0.00元，无形资产0.00元，其他资产0.00元。处置房屋建筑物0.00方米，账面原值0.00元；处置车辆0辆，账面原值0.00元；报废报损资产0项，账面原值0.00元，实现资产处置收入0.00元；资产使用收入0.00元，其中出租资产0.00平方米，资产出租收入0.00元。鉴于截至2023年12月31日的国有资产占有使用精准数据，需在完成2023年决算编制后才能汇总，此处公开为2023年12月资产月报数据为准。</w:t>
      </w:r>
    </w:p>
    <w:p>
      <w:pPr>
        <w:widowControl/>
        <w:ind w:firstLine="600"/>
        <w:jc w:val="left"/>
        <w:rPr>
          <w:rFonts w:ascii="Times New Roman" w:eastAsia="仿宋_GB2312" w:hAnsi="Times New Roman" w:cs="Times New Roman" w:hint="default"/>
          <w:color w:val="auto"/>
          <w:kern w:val="0"/>
          <w:sz w:val="30"/>
          <w:szCs w:val="30"/>
        </w:rPr>
      </w:pPr>
    </w:p>
    <w:p>
      <w:pPr>
        <w:rPr>
          <w:rFonts w:ascii="Arial" w:eastAsia="Arial" w:hAnsi="Arial" w:cs="Arial"/>
          <w:b/>
          <w:sz w:val="36"/>
        </w:rPr>
      </w:pPr>
      <w:r>
        <w:rPr>
          <w:rFonts w:ascii="Arial" w:eastAsia="Arial" w:hAnsi="Arial" w:cs="Arial"/>
          <w:b/>
          <w:sz w:val="36"/>
        </w:rPr>
        <w:t>监督索引号53042600136001800111</w:t>
      </w:r>
    </w:p>
    <w:sectPr>
      <w:headerReference w:type="even" r:id="rId4"/>
      <w:headerReference w:type="default" r:id="rId5"/>
      <w:pgSz w:w="11906" w:h="16838"/>
      <w:pgMar w:top="1247" w:right="1797" w:bottom="1247" w:left="1797"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21A70"/>
    <w:rsid w:val="000237AB"/>
    <w:rsid w:val="0003248D"/>
    <w:rsid w:val="00034005"/>
    <w:rsid w:val="0005317B"/>
    <w:rsid w:val="000543CA"/>
    <w:rsid w:val="00054EA9"/>
    <w:rsid w:val="000559B2"/>
    <w:rsid w:val="00060B5F"/>
    <w:rsid w:val="00063177"/>
    <w:rsid w:val="00064C37"/>
    <w:rsid w:val="000700F1"/>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0136"/>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36596"/>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5068"/>
    <w:rsid w:val="00186C54"/>
    <w:rsid w:val="00192C05"/>
    <w:rsid w:val="00197CAA"/>
    <w:rsid w:val="00197E5D"/>
    <w:rsid w:val="001A1B3A"/>
    <w:rsid w:val="001A3CEE"/>
    <w:rsid w:val="001A784A"/>
    <w:rsid w:val="001B045D"/>
    <w:rsid w:val="001C1C89"/>
    <w:rsid w:val="001C55D5"/>
    <w:rsid w:val="001D120C"/>
    <w:rsid w:val="001D5A59"/>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2E2"/>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29D"/>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47B5"/>
    <w:rsid w:val="003E5754"/>
    <w:rsid w:val="003F171F"/>
    <w:rsid w:val="003F201E"/>
    <w:rsid w:val="003F3C0C"/>
    <w:rsid w:val="003F593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0CBF"/>
    <w:rsid w:val="004C1CDF"/>
    <w:rsid w:val="004D26D3"/>
    <w:rsid w:val="004D3A59"/>
    <w:rsid w:val="004D6E1D"/>
    <w:rsid w:val="004E1503"/>
    <w:rsid w:val="004E6BAC"/>
    <w:rsid w:val="004F2C44"/>
    <w:rsid w:val="004F4F9F"/>
    <w:rsid w:val="004F5C1B"/>
    <w:rsid w:val="00503929"/>
    <w:rsid w:val="005054B5"/>
    <w:rsid w:val="00505533"/>
    <w:rsid w:val="00506344"/>
    <w:rsid w:val="005148D7"/>
    <w:rsid w:val="00521069"/>
    <w:rsid w:val="005248EA"/>
    <w:rsid w:val="0052572D"/>
    <w:rsid w:val="005259BC"/>
    <w:rsid w:val="005358B0"/>
    <w:rsid w:val="005431C8"/>
    <w:rsid w:val="005463F4"/>
    <w:rsid w:val="00552BA8"/>
    <w:rsid w:val="0055409A"/>
    <w:rsid w:val="00563EEF"/>
    <w:rsid w:val="00567B1D"/>
    <w:rsid w:val="00572E90"/>
    <w:rsid w:val="00575EDA"/>
    <w:rsid w:val="005877B8"/>
    <w:rsid w:val="00591771"/>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D725B"/>
    <w:rsid w:val="005E63EF"/>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1D5E"/>
    <w:rsid w:val="00663D84"/>
    <w:rsid w:val="00664A08"/>
    <w:rsid w:val="00672FF9"/>
    <w:rsid w:val="00682553"/>
    <w:rsid w:val="0068515C"/>
    <w:rsid w:val="0068667C"/>
    <w:rsid w:val="006968AE"/>
    <w:rsid w:val="006A26A0"/>
    <w:rsid w:val="006A4FDA"/>
    <w:rsid w:val="006B1C07"/>
    <w:rsid w:val="006B3DA5"/>
    <w:rsid w:val="006B5B25"/>
    <w:rsid w:val="006B7827"/>
    <w:rsid w:val="006C42D6"/>
    <w:rsid w:val="006D0172"/>
    <w:rsid w:val="006E1A3A"/>
    <w:rsid w:val="006E2230"/>
    <w:rsid w:val="006E2B9C"/>
    <w:rsid w:val="006E2E0E"/>
    <w:rsid w:val="006E7E4C"/>
    <w:rsid w:val="006E7E95"/>
    <w:rsid w:val="006F02E3"/>
    <w:rsid w:val="006F1C64"/>
    <w:rsid w:val="006F3C19"/>
    <w:rsid w:val="00700438"/>
    <w:rsid w:val="007013C6"/>
    <w:rsid w:val="007061CD"/>
    <w:rsid w:val="00711423"/>
    <w:rsid w:val="00715660"/>
    <w:rsid w:val="007328B9"/>
    <w:rsid w:val="007336B0"/>
    <w:rsid w:val="0073563C"/>
    <w:rsid w:val="00735ADA"/>
    <w:rsid w:val="00735D71"/>
    <w:rsid w:val="00736386"/>
    <w:rsid w:val="0074138A"/>
    <w:rsid w:val="00750940"/>
    <w:rsid w:val="00751AB4"/>
    <w:rsid w:val="00754250"/>
    <w:rsid w:val="00756A52"/>
    <w:rsid w:val="0076269B"/>
    <w:rsid w:val="00765E00"/>
    <w:rsid w:val="00766131"/>
    <w:rsid w:val="0077005A"/>
    <w:rsid w:val="00772DB4"/>
    <w:rsid w:val="00780AAD"/>
    <w:rsid w:val="0078371A"/>
    <w:rsid w:val="00783A4C"/>
    <w:rsid w:val="00790DCB"/>
    <w:rsid w:val="00790F04"/>
    <w:rsid w:val="0079250C"/>
    <w:rsid w:val="0079260B"/>
    <w:rsid w:val="00794375"/>
    <w:rsid w:val="007A05BD"/>
    <w:rsid w:val="007A725D"/>
    <w:rsid w:val="007B1D24"/>
    <w:rsid w:val="007B486B"/>
    <w:rsid w:val="007B4A0F"/>
    <w:rsid w:val="007C05CB"/>
    <w:rsid w:val="007C1922"/>
    <w:rsid w:val="007C3153"/>
    <w:rsid w:val="007C7656"/>
    <w:rsid w:val="007D066F"/>
    <w:rsid w:val="007D1AE5"/>
    <w:rsid w:val="007D5A91"/>
    <w:rsid w:val="007E3441"/>
    <w:rsid w:val="007E460F"/>
    <w:rsid w:val="007E68C9"/>
    <w:rsid w:val="007E76F1"/>
    <w:rsid w:val="007E77E7"/>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47A13"/>
    <w:rsid w:val="00851C1D"/>
    <w:rsid w:val="00862B83"/>
    <w:rsid w:val="00864E02"/>
    <w:rsid w:val="00874702"/>
    <w:rsid w:val="008775B4"/>
    <w:rsid w:val="008808A6"/>
    <w:rsid w:val="00884461"/>
    <w:rsid w:val="00885B69"/>
    <w:rsid w:val="00895077"/>
    <w:rsid w:val="008A159E"/>
    <w:rsid w:val="008A38E5"/>
    <w:rsid w:val="008A3F94"/>
    <w:rsid w:val="008A4B32"/>
    <w:rsid w:val="008A6037"/>
    <w:rsid w:val="008B1541"/>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22C79"/>
    <w:rsid w:val="00930A10"/>
    <w:rsid w:val="0093199F"/>
    <w:rsid w:val="00932958"/>
    <w:rsid w:val="0094388B"/>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9591E"/>
    <w:rsid w:val="009A08B6"/>
    <w:rsid w:val="009A0C01"/>
    <w:rsid w:val="009A2377"/>
    <w:rsid w:val="009A4D11"/>
    <w:rsid w:val="009A58D4"/>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6B03"/>
    <w:rsid w:val="00A472C6"/>
    <w:rsid w:val="00A51E78"/>
    <w:rsid w:val="00A535AF"/>
    <w:rsid w:val="00A570A1"/>
    <w:rsid w:val="00A60974"/>
    <w:rsid w:val="00A61DCD"/>
    <w:rsid w:val="00A65535"/>
    <w:rsid w:val="00A724CF"/>
    <w:rsid w:val="00A7532F"/>
    <w:rsid w:val="00A761CF"/>
    <w:rsid w:val="00A81682"/>
    <w:rsid w:val="00A84D92"/>
    <w:rsid w:val="00A84E65"/>
    <w:rsid w:val="00A955E4"/>
    <w:rsid w:val="00A95B6C"/>
    <w:rsid w:val="00AA7480"/>
    <w:rsid w:val="00AB1481"/>
    <w:rsid w:val="00AB2ABB"/>
    <w:rsid w:val="00AB5C67"/>
    <w:rsid w:val="00AB7C98"/>
    <w:rsid w:val="00AC47D9"/>
    <w:rsid w:val="00AC74DA"/>
    <w:rsid w:val="00AD0DA1"/>
    <w:rsid w:val="00AE0209"/>
    <w:rsid w:val="00AE2095"/>
    <w:rsid w:val="00AE4B06"/>
    <w:rsid w:val="00AE5322"/>
    <w:rsid w:val="00AE5FEF"/>
    <w:rsid w:val="00AE73E2"/>
    <w:rsid w:val="00AF1CF9"/>
    <w:rsid w:val="00AF2AE3"/>
    <w:rsid w:val="00AF316E"/>
    <w:rsid w:val="00AF7B4F"/>
    <w:rsid w:val="00AF7C58"/>
    <w:rsid w:val="00B05787"/>
    <w:rsid w:val="00B15323"/>
    <w:rsid w:val="00B259AC"/>
    <w:rsid w:val="00B26790"/>
    <w:rsid w:val="00B268D9"/>
    <w:rsid w:val="00B26EC9"/>
    <w:rsid w:val="00B27335"/>
    <w:rsid w:val="00B31046"/>
    <w:rsid w:val="00B31B8F"/>
    <w:rsid w:val="00B333B0"/>
    <w:rsid w:val="00B43561"/>
    <w:rsid w:val="00B440DB"/>
    <w:rsid w:val="00B4415D"/>
    <w:rsid w:val="00B45103"/>
    <w:rsid w:val="00B45D24"/>
    <w:rsid w:val="00B52992"/>
    <w:rsid w:val="00B538C6"/>
    <w:rsid w:val="00B60FB8"/>
    <w:rsid w:val="00B62018"/>
    <w:rsid w:val="00B62B6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5BDD"/>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4EE9"/>
    <w:rsid w:val="00C65879"/>
    <w:rsid w:val="00C6603B"/>
    <w:rsid w:val="00C71E3F"/>
    <w:rsid w:val="00C75A4D"/>
    <w:rsid w:val="00C75CE4"/>
    <w:rsid w:val="00C8367C"/>
    <w:rsid w:val="00C83EC8"/>
    <w:rsid w:val="00C84EC9"/>
    <w:rsid w:val="00C90645"/>
    <w:rsid w:val="00C920EA"/>
    <w:rsid w:val="00C92A41"/>
    <w:rsid w:val="00C95E0F"/>
    <w:rsid w:val="00CA3BAD"/>
    <w:rsid w:val="00CA4E58"/>
    <w:rsid w:val="00CB1858"/>
    <w:rsid w:val="00CB2BD6"/>
    <w:rsid w:val="00CC0087"/>
    <w:rsid w:val="00CD0085"/>
    <w:rsid w:val="00CE1BDC"/>
    <w:rsid w:val="00CF3E52"/>
    <w:rsid w:val="00CF44AE"/>
    <w:rsid w:val="00D00043"/>
    <w:rsid w:val="00D003BE"/>
    <w:rsid w:val="00D02334"/>
    <w:rsid w:val="00D03468"/>
    <w:rsid w:val="00D03E18"/>
    <w:rsid w:val="00D06094"/>
    <w:rsid w:val="00D110CC"/>
    <w:rsid w:val="00D1310A"/>
    <w:rsid w:val="00D165B0"/>
    <w:rsid w:val="00D22B20"/>
    <w:rsid w:val="00D249EC"/>
    <w:rsid w:val="00D25743"/>
    <w:rsid w:val="00D30CFE"/>
    <w:rsid w:val="00D314BC"/>
    <w:rsid w:val="00D319FC"/>
    <w:rsid w:val="00D37964"/>
    <w:rsid w:val="00D40468"/>
    <w:rsid w:val="00D41BD8"/>
    <w:rsid w:val="00D44412"/>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1484"/>
    <w:rsid w:val="00DA76AC"/>
    <w:rsid w:val="00DB0D28"/>
    <w:rsid w:val="00DB3D0C"/>
    <w:rsid w:val="00DB4D49"/>
    <w:rsid w:val="00DB767D"/>
    <w:rsid w:val="00DC07E5"/>
    <w:rsid w:val="00DC395D"/>
    <w:rsid w:val="00DC634D"/>
    <w:rsid w:val="00DC69F9"/>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618E"/>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197"/>
    <w:rsid w:val="00F80BF6"/>
    <w:rsid w:val="00F81802"/>
    <w:rsid w:val="00F82819"/>
    <w:rsid w:val="00F8452D"/>
    <w:rsid w:val="00F9037F"/>
    <w:rsid w:val="00F95BCB"/>
    <w:rsid w:val="00F96634"/>
    <w:rsid w:val="00F96A5C"/>
    <w:rsid w:val="00FA1FBC"/>
    <w:rsid w:val="00FA2C97"/>
    <w:rsid w:val="00FA2FC5"/>
    <w:rsid w:val="00FB15C3"/>
    <w:rsid w:val="00FB35BE"/>
    <w:rsid w:val="00FC37AC"/>
    <w:rsid w:val="00FC43B8"/>
    <w:rsid w:val="00FC4E58"/>
    <w:rsid w:val="00FC51C4"/>
    <w:rsid w:val="00FC7004"/>
    <w:rsid w:val="00FD06A0"/>
    <w:rsid w:val="00FD13FB"/>
    <w:rsid w:val="00FD228E"/>
    <w:rsid w:val="00FD315C"/>
    <w:rsid w:val="00FD4E9B"/>
    <w:rsid w:val="00FD7D5F"/>
    <w:rsid w:val="00FE1A2F"/>
    <w:rsid w:val="00FE5F50"/>
    <w:rsid w:val="00FF1B25"/>
    <w:rsid w:val="00FF7A85"/>
    <w:rsid w:val="016A2805"/>
    <w:rsid w:val="01707C7E"/>
    <w:rsid w:val="018B30C2"/>
    <w:rsid w:val="03457C37"/>
    <w:rsid w:val="03F0214E"/>
    <w:rsid w:val="03F359AA"/>
    <w:rsid w:val="04314F30"/>
    <w:rsid w:val="045C2ADF"/>
    <w:rsid w:val="046F214C"/>
    <w:rsid w:val="04F44A98"/>
    <w:rsid w:val="054A5EB5"/>
    <w:rsid w:val="06325B44"/>
    <w:rsid w:val="06AC6E51"/>
    <w:rsid w:val="06AE4ECD"/>
    <w:rsid w:val="082C4C7B"/>
    <w:rsid w:val="09412610"/>
    <w:rsid w:val="096133B5"/>
    <w:rsid w:val="09985847"/>
    <w:rsid w:val="09C70938"/>
    <w:rsid w:val="09CD06F1"/>
    <w:rsid w:val="0A104218"/>
    <w:rsid w:val="0A4372AD"/>
    <w:rsid w:val="0A4F320E"/>
    <w:rsid w:val="0A782F2B"/>
    <w:rsid w:val="0A8638F7"/>
    <w:rsid w:val="0AB77A2F"/>
    <w:rsid w:val="0B57477A"/>
    <w:rsid w:val="0BFD28E4"/>
    <w:rsid w:val="0C48085D"/>
    <w:rsid w:val="0CBD0903"/>
    <w:rsid w:val="0D611BD6"/>
    <w:rsid w:val="0DAF0926"/>
    <w:rsid w:val="0E23536C"/>
    <w:rsid w:val="0EEB342D"/>
    <w:rsid w:val="0F635DF8"/>
    <w:rsid w:val="10247B87"/>
    <w:rsid w:val="10687993"/>
    <w:rsid w:val="10741D7C"/>
    <w:rsid w:val="10CF5F02"/>
    <w:rsid w:val="111D3473"/>
    <w:rsid w:val="11C257E7"/>
    <w:rsid w:val="11D5657C"/>
    <w:rsid w:val="12541B05"/>
    <w:rsid w:val="12A72C53"/>
    <w:rsid w:val="131A2985"/>
    <w:rsid w:val="133504F9"/>
    <w:rsid w:val="13B61995"/>
    <w:rsid w:val="15D54120"/>
    <w:rsid w:val="15F72494"/>
    <w:rsid w:val="15FA2FE6"/>
    <w:rsid w:val="16120B81"/>
    <w:rsid w:val="162E6AF4"/>
    <w:rsid w:val="165D6CAE"/>
    <w:rsid w:val="177B10D8"/>
    <w:rsid w:val="17E531F7"/>
    <w:rsid w:val="18636490"/>
    <w:rsid w:val="18863C4E"/>
    <w:rsid w:val="19025EBD"/>
    <w:rsid w:val="192F5029"/>
    <w:rsid w:val="19827322"/>
    <w:rsid w:val="19F55BCD"/>
    <w:rsid w:val="1A0B3DDD"/>
    <w:rsid w:val="1A1B6230"/>
    <w:rsid w:val="1A716F5F"/>
    <w:rsid w:val="1A751B4A"/>
    <w:rsid w:val="1B2C029F"/>
    <w:rsid w:val="1B3E5F9F"/>
    <w:rsid w:val="1B7457C9"/>
    <w:rsid w:val="1B91481D"/>
    <w:rsid w:val="1BD73E6F"/>
    <w:rsid w:val="1C97172C"/>
    <w:rsid w:val="1CBD04AB"/>
    <w:rsid w:val="1D646B79"/>
    <w:rsid w:val="1DB9267E"/>
    <w:rsid w:val="1DC37D43"/>
    <w:rsid w:val="1DC41BA1"/>
    <w:rsid w:val="1DD708B6"/>
    <w:rsid w:val="1DE63E53"/>
    <w:rsid w:val="1E924522"/>
    <w:rsid w:val="1F8345C2"/>
    <w:rsid w:val="1F8F6F61"/>
    <w:rsid w:val="1FA37CAB"/>
    <w:rsid w:val="20564C4D"/>
    <w:rsid w:val="20B50589"/>
    <w:rsid w:val="20B7094A"/>
    <w:rsid w:val="20CC70F5"/>
    <w:rsid w:val="20DB6E4B"/>
    <w:rsid w:val="21B824D2"/>
    <w:rsid w:val="21D02FCE"/>
    <w:rsid w:val="23674392"/>
    <w:rsid w:val="2380063A"/>
    <w:rsid w:val="238A3DC1"/>
    <w:rsid w:val="24192B24"/>
    <w:rsid w:val="244425B2"/>
    <w:rsid w:val="249262B8"/>
    <w:rsid w:val="24CB2926"/>
    <w:rsid w:val="25603D6C"/>
    <w:rsid w:val="257D111F"/>
    <w:rsid w:val="25DA2A28"/>
    <w:rsid w:val="277E30D9"/>
    <w:rsid w:val="27C44B4F"/>
    <w:rsid w:val="283005A0"/>
    <w:rsid w:val="28897C58"/>
    <w:rsid w:val="28B34DB4"/>
    <w:rsid w:val="29684A53"/>
    <w:rsid w:val="29C563FD"/>
    <w:rsid w:val="2A1E5382"/>
    <w:rsid w:val="2A2D00A9"/>
    <w:rsid w:val="2A63437F"/>
    <w:rsid w:val="2BF269EF"/>
    <w:rsid w:val="2D4D4951"/>
    <w:rsid w:val="2E343CBB"/>
    <w:rsid w:val="2E574E83"/>
    <w:rsid w:val="2E5B4738"/>
    <w:rsid w:val="2E7A1926"/>
    <w:rsid w:val="2EC91B9A"/>
    <w:rsid w:val="2F1C119D"/>
    <w:rsid w:val="303A13DD"/>
    <w:rsid w:val="30A32E5A"/>
    <w:rsid w:val="31AF62EC"/>
    <w:rsid w:val="3227360A"/>
    <w:rsid w:val="33A621FA"/>
    <w:rsid w:val="348D2810"/>
    <w:rsid w:val="34E433C8"/>
    <w:rsid w:val="351122BF"/>
    <w:rsid w:val="366C3728"/>
    <w:rsid w:val="36F0278C"/>
    <w:rsid w:val="37635D03"/>
    <w:rsid w:val="37911045"/>
    <w:rsid w:val="38226957"/>
    <w:rsid w:val="38672B74"/>
    <w:rsid w:val="38B439E4"/>
    <w:rsid w:val="38B94E67"/>
    <w:rsid w:val="38D85AB4"/>
    <w:rsid w:val="39466C4F"/>
    <w:rsid w:val="39A86124"/>
    <w:rsid w:val="3A8A588E"/>
    <w:rsid w:val="3AC978D1"/>
    <w:rsid w:val="3B026B0F"/>
    <w:rsid w:val="3B236022"/>
    <w:rsid w:val="3B5B336C"/>
    <w:rsid w:val="3B784830"/>
    <w:rsid w:val="3C1464F1"/>
    <w:rsid w:val="3C425B8D"/>
    <w:rsid w:val="3C7D0625"/>
    <w:rsid w:val="3CD13BC0"/>
    <w:rsid w:val="3D6E4C9D"/>
    <w:rsid w:val="3D944E21"/>
    <w:rsid w:val="3DCC2998"/>
    <w:rsid w:val="3DD77225"/>
    <w:rsid w:val="3E1D7086"/>
    <w:rsid w:val="3EFB6EE5"/>
    <w:rsid w:val="3F5538EE"/>
    <w:rsid w:val="40AB4931"/>
    <w:rsid w:val="41134E62"/>
    <w:rsid w:val="417D1121"/>
    <w:rsid w:val="418D636A"/>
    <w:rsid w:val="437E0AAD"/>
    <w:rsid w:val="451A784F"/>
    <w:rsid w:val="454D3EA5"/>
    <w:rsid w:val="459A3C5C"/>
    <w:rsid w:val="45BC0E9D"/>
    <w:rsid w:val="488A54A4"/>
    <w:rsid w:val="488C5052"/>
    <w:rsid w:val="488F5066"/>
    <w:rsid w:val="48A553A3"/>
    <w:rsid w:val="49916668"/>
    <w:rsid w:val="49A16F4E"/>
    <w:rsid w:val="4A1A103E"/>
    <w:rsid w:val="4A8A424F"/>
    <w:rsid w:val="4BE62B94"/>
    <w:rsid w:val="4C0B2731"/>
    <w:rsid w:val="4C5A17D1"/>
    <w:rsid w:val="4D2712A9"/>
    <w:rsid w:val="4D334278"/>
    <w:rsid w:val="4D797BD0"/>
    <w:rsid w:val="4E2B649E"/>
    <w:rsid w:val="4E6B5A1F"/>
    <w:rsid w:val="4E866A4D"/>
    <w:rsid w:val="4EED488B"/>
    <w:rsid w:val="4F9D05A4"/>
    <w:rsid w:val="51301A5D"/>
    <w:rsid w:val="51486F2A"/>
    <w:rsid w:val="51F42604"/>
    <w:rsid w:val="52717BCE"/>
    <w:rsid w:val="52912511"/>
    <w:rsid w:val="52AE5FF2"/>
    <w:rsid w:val="52F4603B"/>
    <w:rsid w:val="5304383E"/>
    <w:rsid w:val="531169CF"/>
    <w:rsid w:val="53762EEC"/>
    <w:rsid w:val="53E1259B"/>
    <w:rsid w:val="540C7FF2"/>
    <w:rsid w:val="543878C2"/>
    <w:rsid w:val="548F7EB4"/>
    <w:rsid w:val="549F26C3"/>
    <w:rsid w:val="55F304BE"/>
    <w:rsid w:val="560F5AE7"/>
    <w:rsid w:val="565C22F4"/>
    <w:rsid w:val="56F77E4E"/>
    <w:rsid w:val="572D4A2F"/>
    <w:rsid w:val="5753107B"/>
    <w:rsid w:val="57BE5D21"/>
    <w:rsid w:val="580418F5"/>
    <w:rsid w:val="587D6129"/>
    <w:rsid w:val="58E42340"/>
    <w:rsid w:val="5A3D5D63"/>
    <w:rsid w:val="5A4E6182"/>
    <w:rsid w:val="5A523E5D"/>
    <w:rsid w:val="5A5F2402"/>
    <w:rsid w:val="5AE52219"/>
    <w:rsid w:val="5B4B2AA8"/>
    <w:rsid w:val="5B5273E4"/>
    <w:rsid w:val="5B6F544B"/>
    <w:rsid w:val="5C344F66"/>
    <w:rsid w:val="5C615AD9"/>
    <w:rsid w:val="5D8A3FC2"/>
    <w:rsid w:val="5DAD3E42"/>
    <w:rsid w:val="5E8D610B"/>
    <w:rsid w:val="5F8757D4"/>
    <w:rsid w:val="611236F1"/>
    <w:rsid w:val="61AC4F34"/>
    <w:rsid w:val="63C367A9"/>
    <w:rsid w:val="64245C53"/>
    <w:rsid w:val="646605FE"/>
    <w:rsid w:val="64BB2F53"/>
    <w:rsid w:val="64C859BC"/>
    <w:rsid w:val="65866541"/>
    <w:rsid w:val="66411CCA"/>
    <w:rsid w:val="665D7C86"/>
    <w:rsid w:val="66EF6B43"/>
    <w:rsid w:val="676320BD"/>
    <w:rsid w:val="676E094C"/>
    <w:rsid w:val="68014B1A"/>
    <w:rsid w:val="68E14376"/>
    <w:rsid w:val="690F430A"/>
    <w:rsid w:val="692119FE"/>
    <w:rsid w:val="69B304BD"/>
    <w:rsid w:val="69C74777"/>
    <w:rsid w:val="6A070C95"/>
    <w:rsid w:val="6A990843"/>
    <w:rsid w:val="6AB34E53"/>
    <w:rsid w:val="6B5E72CA"/>
    <w:rsid w:val="6C185166"/>
    <w:rsid w:val="6C555623"/>
    <w:rsid w:val="6CE00556"/>
    <w:rsid w:val="6CE34371"/>
    <w:rsid w:val="6E1F1ABC"/>
    <w:rsid w:val="6EAA4B34"/>
    <w:rsid w:val="6ED864C1"/>
    <w:rsid w:val="6EDA6A94"/>
    <w:rsid w:val="6F2C536B"/>
    <w:rsid w:val="6FB8424B"/>
    <w:rsid w:val="7005690A"/>
    <w:rsid w:val="70497C18"/>
    <w:rsid w:val="706044C2"/>
    <w:rsid w:val="707217B7"/>
    <w:rsid w:val="70BF3967"/>
    <w:rsid w:val="70F826C0"/>
    <w:rsid w:val="71352B9F"/>
    <w:rsid w:val="718D0958"/>
    <w:rsid w:val="72063E6D"/>
    <w:rsid w:val="720E10EA"/>
    <w:rsid w:val="72293730"/>
    <w:rsid w:val="724A4A01"/>
    <w:rsid w:val="73116912"/>
    <w:rsid w:val="73303873"/>
    <w:rsid w:val="73954482"/>
    <w:rsid w:val="73C43C1D"/>
    <w:rsid w:val="74106478"/>
    <w:rsid w:val="74135A35"/>
    <w:rsid w:val="74C2123B"/>
    <w:rsid w:val="74DA13C4"/>
    <w:rsid w:val="75087FFB"/>
    <w:rsid w:val="750906E1"/>
    <w:rsid w:val="75285EA2"/>
    <w:rsid w:val="752C1989"/>
    <w:rsid w:val="75954C96"/>
    <w:rsid w:val="77C07374"/>
    <w:rsid w:val="7A067F11"/>
    <w:rsid w:val="7A9F5D3D"/>
    <w:rsid w:val="7AE93D0D"/>
    <w:rsid w:val="7BEA738C"/>
    <w:rsid w:val="7CF602C4"/>
    <w:rsid w:val="7D4F20E1"/>
    <w:rsid w:val="7D775309"/>
    <w:rsid w:val="7D99752A"/>
    <w:rsid w:val="7E0879AB"/>
    <w:rsid w:val="7E9D5D95"/>
    <w:rsid w:val="7F941FDD"/>
    <w:rsid w:val="7FD8724E"/>
  </w:rsids>
  <w:docVars>
    <w:docVar w:name="commondata" w:val="eyJoZGlkIjoiOGFjMTEzMDg4ODZhMTBhYmM2MmM5NmU0NmQ5OGNjZTc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0" w:qFormat="1"/>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unhideWhenUsed="0"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qFormat="1"/>
    <w:lsdException w:name="Body Text" w:semiHidden="0" w:uiPriority="0" w:qFormat="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semiHidden="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qFormat="1"/>
    <w:lsdException w:name="annotation subject"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BodyText"/>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unhideWhenUsed/>
    <w:qFormat/>
  </w:style>
  <w:style w:type="paragraph" w:styleId="CommentText">
    <w:name w:val="annotation text"/>
    <w:basedOn w:val="Normal"/>
    <w:semiHidden/>
    <w:qFormat/>
    <w:pPr>
      <w:jc w:val="left"/>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rPr>
  </w:style>
  <w:style w:type="paragraph" w:styleId="CommentSubject">
    <w:name w:val="annotation subject"/>
    <w:basedOn w:val="CommentText"/>
    <w:next w:val="CommentText"/>
    <w:semiHidden/>
    <w:qFormat/>
    <w:rPr>
      <w:b/>
      <w:bCs/>
    </w:rPr>
  </w:style>
  <w:style w:type="character" w:styleId="CommentReference">
    <w:name w:val="annotation reference"/>
    <w:semiHidden/>
    <w:qFormat/>
    <w:rPr>
      <w:sz w:val="21"/>
      <w:szCs w:val="21"/>
    </w:rPr>
  </w:style>
  <w:style w:type="paragraph" w:customStyle="1" w:styleId="1">
    <w:name w:val="修订1"/>
    <w:uiPriority w:val="99"/>
    <w:semiHidden/>
    <w:qFormat/>
    <w:rPr>
      <w:rFonts w:ascii="Times New Roman" w:eastAsia="宋体" w:hAnsi="Times New Roman" w:cs="Times New Roman"/>
      <w:kern w:val="2"/>
      <w:sz w:val="21"/>
      <w:szCs w:val="24"/>
      <w:lang w:val="en-US" w:eastAsia="zh-CN" w:bidi="ar-SA"/>
    </w:rPr>
  </w:style>
  <w:style w:type="paragraph" w:styleId="ListParagraph">
    <w:name w:val="List Paragraph"/>
    <w:basedOn w:val="Normal"/>
    <w:uiPriority w:val="99"/>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11</Pages>
  <Words>4894</Words>
  <Characters>5382</Characters>
  <Application>Microsoft Office Word</Application>
  <DocSecurity>0</DocSecurity>
  <Lines>38</Lines>
  <Paragraphs>10</Paragraphs>
  <ScaleCrop>false</ScaleCrop>
  <Company>zhlx</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Administrator</cp:lastModifiedBy>
  <cp:revision>2</cp:revision>
  <cp:lastPrinted>2021-01-19T08:22:00Z</cp:lastPrinted>
  <dcterms:created xsi:type="dcterms:W3CDTF">2022-02-21T01:10:00Z</dcterms:created>
  <dcterms:modified xsi:type="dcterms:W3CDTF">2025-03-17T09:23:15Z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3F538D272E1B453EBD62FFFFA4475D22_13</vt:lpwstr>
  </property>
  <property fmtid="{D5CDD505-2E9C-101B-9397-08002B2CF9AE}" pid="3" name="KSOProductBuildVer">
    <vt:lpwstr>2052-11.8.2.12085</vt:lpwstr>
  </property>
  <property fmtid="{D5CDD505-2E9C-101B-9397-08002B2CF9AE}" pid="4" name="KSOTemplateDocerSaveRecord">
    <vt:lpwstr>eyJoZGlkIjoiOGFjMTEzMDg4ODZhMTBhYmM2MmM5NmU0NmQ5OGNjZTciLCJ1c2VySWQiOiI3NDUzODgzMzgifQ==</vt:lpwstr>
  </property>
</Properties>
</file>