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967B73">
      <w:pPr>
        <w:snapToGrid w:val="0"/>
        <w:spacing w:line="317" w:lineRule="auto"/>
        <w:jc w:val="center"/>
        <w:rPr>
          <w:rFonts w:eastAsia="方正小标宋简体"/>
          <w:sz w:val="44"/>
          <w:szCs w:val="44"/>
        </w:rPr>
      </w:pPr>
      <w:r>
        <w:rPr>
          <w:rFonts w:eastAsia="方正小标宋简体"/>
          <w:sz w:val="44"/>
          <w:szCs w:val="44"/>
        </w:rPr>
        <w:t>云南省</w:t>
      </w:r>
      <w:r>
        <w:rPr>
          <w:rFonts w:hint="eastAsia" w:eastAsia="方正小标宋简体"/>
          <w:sz w:val="44"/>
          <w:szCs w:val="44"/>
        </w:rPr>
        <w:t>峨山彝族自治县</w:t>
      </w:r>
      <w:r>
        <w:rPr>
          <w:rFonts w:eastAsia="方正小标宋简体"/>
          <w:sz w:val="44"/>
          <w:szCs w:val="44"/>
        </w:rPr>
        <w:t>烟草制品零售点</w:t>
      </w:r>
    </w:p>
    <w:p w14:paraId="5D2D1FB3">
      <w:pPr>
        <w:snapToGrid w:val="0"/>
        <w:spacing w:line="317" w:lineRule="auto"/>
        <w:jc w:val="center"/>
        <w:rPr>
          <w:rFonts w:eastAsia="方正小标宋简体"/>
          <w:sz w:val="44"/>
          <w:szCs w:val="44"/>
        </w:rPr>
      </w:pPr>
      <w:r>
        <w:rPr>
          <w:rFonts w:eastAsia="方正小标宋简体"/>
          <w:sz w:val="44"/>
          <w:szCs w:val="44"/>
        </w:rPr>
        <w:t>合理布局规划（</w:t>
      </w:r>
      <w:r>
        <w:rPr>
          <w:rFonts w:hint="eastAsia" w:eastAsia="方正小标宋简体"/>
          <w:sz w:val="44"/>
          <w:szCs w:val="44"/>
          <w:lang w:val="en-US" w:eastAsia="zh-CN"/>
        </w:rPr>
        <w:t>修订草案</w:t>
      </w:r>
      <w:r>
        <w:rPr>
          <w:rFonts w:eastAsia="方正小标宋简体"/>
          <w:sz w:val="44"/>
          <w:szCs w:val="44"/>
        </w:rPr>
        <w:t>）</w:t>
      </w:r>
    </w:p>
    <w:p w14:paraId="7C3A9CC2">
      <w:pPr>
        <w:pStyle w:val="8"/>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eastAsia="仿宋_GB2312"/>
          <w:sz w:val="32"/>
          <w:szCs w:val="32"/>
        </w:rPr>
      </w:pPr>
      <w:r>
        <w:rPr>
          <w:rFonts w:hint="eastAsia" w:ascii="Times New Roman" w:hAnsi="Times New Roman" w:eastAsia="黑体"/>
          <w:sz w:val="32"/>
          <w:szCs w:val="32"/>
        </w:rPr>
        <w:t xml:space="preserve">第一章 </w:t>
      </w:r>
      <w:r>
        <w:rPr>
          <w:rFonts w:ascii="Times New Roman" w:hAnsi="Times New Roman" w:eastAsia="黑体"/>
          <w:sz w:val="32"/>
          <w:szCs w:val="32"/>
        </w:rPr>
        <w:t>总则</w:t>
      </w:r>
    </w:p>
    <w:p w14:paraId="68FA1253">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第一条</w:t>
      </w:r>
      <w:r>
        <w:rPr>
          <w:rFonts w:hint="eastAsia" w:eastAsia="仿宋_GB2312"/>
          <w:sz w:val="32"/>
          <w:szCs w:val="32"/>
        </w:rPr>
        <w:t xml:space="preserve"> </w:t>
      </w:r>
      <w:r>
        <w:rPr>
          <w:rFonts w:eastAsia="仿宋_GB2312"/>
          <w:sz w:val="32"/>
          <w:szCs w:val="32"/>
        </w:rPr>
        <w:t>为深入推进</w:t>
      </w:r>
      <w:r>
        <w:rPr>
          <w:rFonts w:hint="eastAsia" w:ascii="仿宋_GB2312" w:eastAsia="仿宋_GB2312"/>
          <w:sz w:val="32"/>
          <w:szCs w:val="32"/>
        </w:rPr>
        <w:t>“放管服”</w:t>
      </w:r>
      <w:r>
        <w:rPr>
          <w:rFonts w:eastAsia="仿宋_GB2312"/>
          <w:sz w:val="32"/>
          <w:szCs w:val="32"/>
        </w:rPr>
        <w:t>改革，依法依规、科学合理制定烟草制品零售点合理布局规划，提升烟草专卖行政许可的公开性、公平性和公正性，依据《中华人民共和国行政许可法》</w:t>
      </w:r>
      <w:r>
        <w:rPr>
          <w:rFonts w:eastAsia="仿宋_GB2312"/>
          <w:bCs/>
          <w:sz w:val="32"/>
          <w:szCs w:val="32"/>
        </w:rPr>
        <w:t>《中华人民共和国未成年人保护法》《中华人民共和国烟草专卖法》</w:t>
      </w:r>
      <w:r>
        <w:rPr>
          <w:rFonts w:eastAsia="仿宋_GB2312"/>
          <w:sz w:val="32"/>
          <w:szCs w:val="32"/>
        </w:rPr>
        <w:t>《中华人民共和国烟草专卖法实施条例》《烟草专卖许可证管理办法》《烟草专卖许可证管理办法实施细则》等法律</w:t>
      </w:r>
      <w:r>
        <w:rPr>
          <w:rFonts w:hint="eastAsia" w:eastAsia="仿宋_GB2312"/>
          <w:sz w:val="32"/>
          <w:szCs w:val="32"/>
        </w:rPr>
        <w:t>、</w:t>
      </w:r>
      <w:r>
        <w:rPr>
          <w:rFonts w:eastAsia="仿宋_GB2312"/>
          <w:sz w:val="32"/>
          <w:szCs w:val="32"/>
        </w:rPr>
        <w:t>法规</w:t>
      </w:r>
      <w:r>
        <w:rPr>
          <w:rFonts w:hint="eastAsia" w:eastAsia="仿宋_GB2312"/>
          <w:sz w:val="32"/>
          <w:szCs w:val="32"/>
        </w:rPr>
        <w:t>、</w:t>
      </w:r>
      <w:r>
        <w:rPr>
          <w:rFonts w:eastAsia="仿宋_GB2312"/>
          <w:sz w:val="32"/>
          <w:szCs w:val="32"/>
        </w:rPr>
        <w:t>规章</w:t>
      </w:r>
      <w:r>
        <w:rPr>
          <w:rFonts w:hint="eastAsia" w:eastAsia="仿宋_GB2312"/>
          <w:sz w:val="32"/>
          <w:szCs w:val="32"/>
        </w:rPr>
        <w:t>和国家烟草专卖局</w:t>
      </w:r>
      <w:r>
        <w:rPr>
          <w:rFonts w:eastAsia="仿宋_GB2312"/>
          <w:sz w:val="32"/>
          <w:szCs w:val="32"/>
        </w:rPr>
        <w:t>的</w:t>
      </w:r>
      <w:r>
        <w:rPr>
          <w:rFonts w:hint="eastAsia" w:eastAsia="仿宋_GB2312"/>
          <w:sz w:val="32"/>
          <w:szCs w:val="32"/>
        </w:rPr>
        <w:t>有关</w:t>
      </w:r>
      <w:r>
        <w:rPr>
          <w:rFonts w:eastAsia="仿宋_GB2312"/>
          <w:sz w:val="32"/>
          <w:szCs w:val="32"/>
        </w:rPr>
        <w:t>规定，结合</w:t>
      </w:r>
      <w:r>
        <w:rPr>
          <w:rFonts w:hint="eastAsia" w:eastAsia="仿宋_GB2312"/>
          <w:sz w:val="32"/>
          <w:szCs w:val="32"/>
        </w:rPr>
        <w:t>云南省峨山彝族自治县</w:t>
      </w:r>
      <w:r>
        <w:rPr>
          <w:rFonts w:eastAsia="仿宋_GB2312"/>
          <w:sz w:val="32"/>
          <w:szCs w:val="32"/>
        </w:rPr>
        <w:t>实际，制定本规划。</w:t>
      </w:r>
    </w:p>
    <w:p w14:paraId="14AFF4F7">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 xml:space="preserve">第二条 </w:t>
      </w:r>
      <w:r>
        <w:rPr>
          <w:rFonts w:hint="eastAsia" w:eastAsia="仿宋_GB2312"/>
          <w:sz w:val="32"/>
          <w:szCs w:val="32"/>
        </w:rPr>
        <w:t>本规划适用于</w:t>
      </w:r>
      <w:r>
        <w:rPr>
          <w:rFonts w:eastAsia="仿宋_GB2312"/>
          <w:sz w:val="32"/>
          <w:szCs w:val="32"/>
        </w:rPr>
        <w:t>云南省</w:t>
      </w:r>
      <w:r>
        <w:rPr>
          <w:rFonts w:hint="eastAsia" w:eastAsia="仿宋_GB2312"/>
          <w:sz w:val="32"/>
          <w:szCs w:val="32"/>
        </w:rPr>
        <w:t>峨山彝族自治县行政辖区范围内烟草制品零售点的布局管理。电子烟零售点布局按照《云南省电子烟零售点布局规划》执行。</w:t>
      </w:r>
    </w:p>
    <w:p w14:paraId="7F2D75B2">
      <w:pPr>
        <w:keepNext w:val="0"/>
        <w:keepLines w:val="0"/>
        <w:pageBreakBefore w:val="0"/>
        <w:kinsoku/>
        <w:wordWrap/>
        <w:overflowPunct/>
        <w:topLinePunct w:val="0"/>
        <w:autoSpaceDE/>
        <w:autoSpaceDN/>
        <w:bidi w:val="0"/>
        <w:adjustRightInd w:val="0"/>
        <w:snapToGrid w:val="0"/>
        <w:spacing w:line="336" w:lineRule="auto"/>
        <w:ind w:firstLine="640" w:firstLineChars="200"/>
        <w:jc w:val="left"/>
        <w:textAlignment w:val="baseline"/>
        <w:rPr>
          <w:rFonts w:eastAsia="仿宋_GB2312"/>
          <w:sz w:val="32"/>
          <w:szCs w:val="32"/>
        </w:rPr>
      </w:pPr>
      <w:r>
        <w:rPr>
          <w:rFonts w:hint="eastAsia" w:ascii="黑体" w:hAnsi="黑体" w:eastAsia="黑体" w:cs="黑体"/>
          <w:sz w:val="32"/>
          <w:szCs w:val="32"/>
        </w:rPr>
        <w:t xml:space="preserve">第三条 </w:t>
      </w:r>
      <w:r>
        <w:rPr>
          <w:rFonts w:eastAsia="仿宋_GB2312"/>
          <w:sz w:val="32"/>
          <w:szCs w:val="32"/>
        </w:rPr>
        <w:t>本规划所称烟草制品零售点（以下简称零售点）是指依法取得</w:t>
      </w:r>
      <w:r>
        <w:rPr>
          <w:rFonts w:eastAsia="仿宋_GB2312"/>
          <w:sz w:val="32"/>
          <w:szCs w:val="32"/>
          <w:lang w:bidi="ar"/>
        </w:rPr>
        <w:t>烟草专卖零售许可证（</w:t>
      </w:r>
      <w:r>
        <w:rPr>
          <w:rFonts w:eastAsia="仿宋_GB2312"/>
          <w:sz w:val="32"/>
          <w:szCs w:val="32"/>
        </w:rPr>
        <w:t>以下简称零售许可证</w:t>
      </w:r>
      <w:r>
        <w:rPr>
          <w:rFonts w:eastAsia="仿宋_GB2312"/>
          <w:sz w:val="32"/>
          <w:szCs w:val="32"/>
          <w:lang w:bidi="ar"/>
        </w:rPr>
        <w:t>）的公民、法人</w:t>
      </w:r>
      <w:r>
        <w:rPr>
          <w:rFonts w:hint="eastAsia" w:eastAsia="仿宋_GB2312"/>
          <w:sz w:val="32"/>
          <w:szCs w:val="32"/>
          <w:lang w:bidi="ar"/>
        </w:rPr>
        <w:t>或</w:t>
      </w:r>
      <w:r>
        <w:rPr>
          <w:rFonts w:eastAsia="仿宋_GB2312"/>
          <w:sz w:val="32"/>
          <w:szCs w:val="32"/>
          <w:lang w:bidi="ar"/>
        </w:rPr>
        <w:t>其他组织从事烟草制品零售业务的经营场所。</w:t>
      </w:r>
    </w:p>
    <w:p w14:paraId="310478CF">
      <w:pPr>
        <w:keepNext w:val="0"/>
        <w:keepLines w:val="0"/>
        <w:pageBreakBefore w:val="0"/>
        <w:kinsoku/>
        <w:wordWrap/>
        <w:overflowPunct/>
        <w:topLinePunct w:val="0"/>
        <w:autoSpaceDE/>
        <w:autoSpaceDN/>
        <w:bidi w:val="0"/>
        <w:adjustRightInd w:val="0"/>
        <w:snapToGrid w:val="0"/>
        <w:spacing w:line="336" w:lineRule="auto"/>
        <w:ind w:firstLine="640" w:firstLineChars="200"/>
        <w:rPr>
          <w:rFonts w:eastAsia="仿宋_GB2312"/>
          <w:bCs/>
          <w:sz w:val="32"/>
          <w:szCs w:val="32"/>
        </w:rPr>
      </w:pPr>
      <w:r>
        <w:rPr>
          <w:rFonts w:eastAsia="仿宋_GB2312"/>
          <w:bCs/>
          <w:sz w:val="32"/>
          <w:szCs w:val="32"/>
        </w:rPr>
        <w:t>零售点应当设置于与住所相独立的固定经营场所，经营场所与住所应当</w:t>
      </w:r>
      <w:r>
        <w:rPr>
          <w:rFonts w:eastAsia="仿宋_GB2312"/>
          <w:sz w:val="32"/>
          <w:szCs w:val="32"/>
        </w:rPr>
        <w:t>在空间上相互独立，在物理特性上应有实体墙相隔离。</w:t>
      </w:r>
      <w:r>
        <w:rPr>
          <w:rFonts w:hint="eastAsia" w:eastAsia="仿宋_GB2312"/>
          <w:sz w:val="32"/>
          <w:szCs w:val="32"/>
        </w:rPr>
        <w:t>经营场所应有指向明确并唯一的门牌、地址或者方位表述，且与营业执照登记注册的经营场所一致，并面向公众经营。</w:t>
      </w:r>
    </w:p>
    <w:p w14:paraId="6FDBA04B">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 xml:space="preserve">第四条 </w:t>
      </w:r>
      <w:r>
        <w:rPr>
          <w:rFonts w:eastAsia="仿宋_GB2312"/>
          <w:sz w:val="32"/>
          <w:szCs w:val="32"/>
        </w:rPr>
        <w:t>本规划遵循依法行政、科学规划、服务社会、均衡发展原则，综合辖区内人口数量、交通状况、经济发展水平、消费能力等因素，对零售点进行科学合理的规划布局。</w:t>
      </w:r>
    </w:p>
    <w:p w14:paraId="25C6184F">
      <w:pPr>
        <w:pStyle w:val="8"/>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ascii="Times New Roman" w:hAnsi="Times New Roman" w:eastAsia="黑体"/>
          <w:color w:val="auto"/>
          <w:sz w:val="32"/>
          <w:szCs w:val="32"/>
          <w:highlight w:val="none"/>
        </w:rPr>
      </w:pPr>
      <w:r>
        <w:rPr>
          <w:rFonts w:hint="eastAsia" w:ascii="Times New Roman" w:hAnsi="Times New Roman" w:eastAsia="黑体"/>
          <w:color w:val="auto"/>
          <w:sz w:val="32"/>
          <w:szCs w:val="32"/>
          <w:highlight w:val="none"/>
        </w:rPr>
        <w:t xml:space="preserve">第二章 </w:t>
      </w:r>
      <w:r>
        <w:rPr>
          <w:rFonts w:ascii="Times New Roman" w:hAnsi="Times New Roman" w:eastAsia="黑体"/>
          <w:color w:val="auto"/>
          <w:sz w:val="32"/>
          <w:szCs w:val="32"/>
          <w:highlight w:val="none"/>
        </w:rPr>
        <w:t>零售点布局标准</w:t>
      </w:r>
    </w:p>
    <w:p w14:paraId="2F7C333D">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hint="eastAsia" w:eastAsia="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黑体" w:hAnsi="黑体" w:eastAsia="黑体" w:cs="黑体"/>
          <w:color w:val="auto"/>
          <w:sz w:val="32"/>
          <w:szCs w:val="32"/>
          <w:highlight w:val="none"/>
          <w:lang w:val="en-US" w:eastAsia="zh-CN"/>
        </w:rPr>
        <w:t xml:space="preserve"> </w:t>
      </w:r>
      <w:r>
        <w:rPr>
          <w:rFonts w:hint="eastAsia" w:eastAsia="仿宋_GB2312"/>
          <w:color w:val="auto"/>
          <w:sz w:val="32"/>
          <w:szCs w:val="32"/>
          <w:highlight w:val="none"/>
        </w:rPr>
        <w:t>本章适用于经营范围除“仅为雪茄烟本店零售”以外的卷烟、雪茄烟、消费类烟丝的零售点布局管理。</w:t>
      </w:r>
    </w:p>
    <w:p w14:paraId="6A67A21E">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hint="eastAsia" w:eastAsia="仿宋_GB2312"/>
          <w:color w:val="auto"/>
          <w:sz w:val="32"/>
          <w:szCs w:val="32"/>
          <w:highlight w:val="none"/>
        </w:rPr>
      </w:pPr>
      <w:r>
        <w:rPr>
          <w:rFonts w:hint="eastAsia" w:ascii="黑体" w:hAnsi="黑体" w:eastAsia="黑体" w:cs="黑体"/>
          <w:color w:val="auto"/>
          <w:sz w:val="32"/>
          <w:szCs w:val="32"/>
          <w:highlight w:val="none"/>
          <w:lang w:val="en-US" w:eastAsia="zh-CN"/>
        </w:rPr>
        <w:t>第六条</w:t>
      </w:r>
      <w:r>
        <w:rPr>
          <w:rFonts w:hint="eastAsia" w:eastAsia="仿宋_GB2312"/>
          <w:color w:val="auto"/>
          <w:sz w:val="32"/>
          <w:szCs w:val="32"/>
          <w:highlight w:val="none"/>
          <w:lang w:val="en-US" w:eastAsia="zh-CN"/>
        </w:rPr>
        <w:t xml:space="preserve"> </w:t>
      </w:r>
      <w:r>
        <w:rPr>
          <w:rFonts w:hint="eastAsia" w:eastAsia="仿宋_GB2312"/>
          <w:color w:val="auto"/>
          <w:sz w:val="32"/>
          <w:szCs w:val="32"/>
          <w:highlight w:val="none"/>
        </w:rPr>
        <w:t>零售点布局采用单元格数量限制、距离限制、单元格数量限制与距离限制相结合以及不予设置烟草制品零售点等布局标准。</w:t>
      </w:r>
    </w:p>
    <w:p w14:paraId="012C3C22">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 xml:space="preserve">条 </w:t>
      </w:r>
      <w:r>
        <w:rPr>
          <w:rFonts w:eastAsia="仿宋_GB2312"/>
          <w:sz w:val="32"/>
          <w:szCs w:val="32"/>
        </w:rPr>
        <w:t>根据地域面积、人口数量、交通状况、经济发展水平、居民消费能力、消费购买习惯等因素，合理确定区域零售点规划数，并划定最小单元网格。单元网格零售点规划数是指</w:t>
      </w:r>
      <w:r>
        <w:rPr>
          <w:rFonts w:hint="eastAsia" w:eastAsia="仿宋_GB2312"/>
          <w:sz w:val="32"/>
          <w:szCs w:val="32"/>
        </w:rPr>
        <w:t>最小</w:t>
      </w:r>
      <w:r>
        <w:rPr>
          <w:rFonts w:eastAsia="仿宋_GB2312"/>
          <w:sz w:val="32"/>
          <w:szCs w:val="32"/>
        </w:rPr>
        <w:t>单元网格内可设置零售点的数量。</w:t>
      </w:r>
      <w:r>
        <w:rPr>
          <w:rFonts w:hint="eastAsia" w:eastAsia="仿宋_GB2312"/>
          <w:sz w:val="32"/>
          <w:szCs w:val="32"/>
        </w:rPr>
        <w:t>总量规划数是指云南省峨山彝族自治县辖区范围内所有单元网格零售点规划数之和。</w:t>
      </w:r>
    </w:p>
    <w:p w14:paraId="3F41B8D6">
      <w:pPr>
        <w:keepNext w:val="0"/>
        <w:keepLines w:val="0"/>
        <w:pageBreakBefore w:val="0"/>
        <w:kinsoku/>
        <w:wordWrap/>
        <w:overflowPunct/>
        <w:topLinePunct w:val="0"/>
        <w:autoSpaceDE/>
        <w:autoSpaceDN/>
        <w:bidi w:val="0"/>
        <w:adjustRightInd w:val="0"/>
        <w:snapToGrid w:val="0"/>
        <w:spacing w:line="336"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14:paraId="1E504029">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八</w:t>
      </w:r>
      <w:r>
        <w:rPr>
          <w:rFonts w:hint="eastAsia" w:ascii="黑体" w:hAnsi="黑体" w:eastAsia="黑体" w:cs="黑体"/>
          <w:spacing w:val="10"/>
          <w:sz w:val="32"/>
          <w:szCs w:val="32"/>
        </w:rPr>
        <w:t xml:space="preserve">条 </w:t>
      </w:r>
      <w:r>
        <w:rPr>
          <w:rFonts w:hint="eastAsia" w:eastAsia="仿宋_GB2312"/>
          <w:spacing w:val="10"/>
          <w:sz w:val="32"/>
          <w:szCs w:val="32"/>
        </w:rPr>
        <w:t>根据零售市场状态、交通状况、人口热度、消费购买习惯等因素，合理确定零售点间距。零售点间距是指申请人拟从事烟草制品零售业务的经营场所与最近的烟草制品零售点之间的距离。测量的总体原则为两个零售点“门边到门边”可安全步行的最短距离。测量规则及标准详见《云南省峨山彝族自治县烟草制品零售点间距测量规则及标准》（附件1）。</w:t>
      </w:r>
    </w:p>
    <w:p w14:paraId="3AB66356">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九</w:t>
      </w:r>
      <w:r>
        <w:rPr>
          <w:rFonts w:hint="eastAsia" w:ascii="黑体" w:hAnsi="黑体" w:eastAsia="黑体" w:cs="黑体"/>
          <w:spacing w:val="10"/>
          <w:sz w:val="32"/>
          <w:szCs w:val="32"/>
        </w:rPr>
        <w:t>条</w:t>
      </w:r>
      <w:r>
        <w:rPr>
          <w:rFonts w:hint="eastAsia" w:ascii="黑体" w:hAnsi="黑体" w:eastAsia="黑体" w:cs="黑体"/>
          <w:spacing w:val="10"/>
          <w:sz w:val="32"/>
          <w:szCs w:val="32"/>
          <w:lang w:val="en-US" w:eastAsia="zh-CN"/>
        </w:rPr>
        <w:t xml:space="preserve"> </w:t>
      </w:r>
      <w:r>
        <w:rPr>
          <w:rFonts w:eastAsia="仿宋_GB2312"/>
          <w:spacing w:val="10"/>
          <w:sz w:val="32"/>
          <w:szCs w:val="32"/>
        </w:rPr>
        <w:t>辖区内</w:t>
      </w:r>
      <w:r>
        <w:rPr>
          <w:rFonts w:hint="eastAsia" w:eastAsia="仿宋_GB2312"/>
          <w:spacing w:val="10"/>
          <w:sz w:val="32"/>
          <w:szCs w:val="32"/>
          <w:lang w:val="en-US" w:eastAsia="zh-CN"/>
        </w:rPr>
        <w:t>机场、</w:t>
      </w:r>
      <w:r>
        <w:rPr>
          <w:rFonts w:eastAsia="仿宋_GB2312"/>
          <w:spacing w:val="10"/>
          <w:sz w:val="32"/>
          <w:szCs w:val="32"/>
        </w:rPr>
        <w:t>火车站、汽车站等相对封闭的内部等候区，可设置</w:t>
      </w:r>
      <w:r>
        <w:rPr>
          <w:rFonts w:hint="eastAsia" w:eastAsia="仿宋_GB2312"/>
          <w:spacing w:val="10"/>
          <w:sz w:val="32"/>
          <w:szCs w:val="32"/>
        </w:rPr>
        <w:t>一</w:t>
      </w:r>
      <w:r>
        <w:rPr>
          <w:rFonts w:eastAsia="仿宋_GB2312"/>
          <w:spacing w:val="10"/>
          <w:sz w:val="32"/>
          <w:szCs w:val="32"/>
        </w:rPr>
        <w:t>个零售</w:t>
      </w:r>
      <w:r>
        <w:rPr>
          <w:rFonts w:hint="eastAsia" w:eastAsia="仿宋_GB2312"/>
          <w:spacing w:val="10"/>
          <w:sz w:val="32"/>
          <w:szCs w:val="32"/>
        </w:rPr>
        <w:t>点，不受单元网格规划数及总量规划数限制。</w:t>
      </w:r>
    </w:p>
    <w:p w14:paraId="16CF793A">
      <w:pPr>
        <w:keepNext w:val="0"/>
        <w:keepLines w:val="0"/>
        <w:pageBreakBefore w:val="0"/>
        <w:kinsoku/>
        <w:wordWrap/>
        <w:overflowPunct/>
        <w:topLinePunct w:val="0"/>
        <w:autoSpaceDE/>
        <w:autoSpaceDN/>
        <w:bidi w:val="0"/>
        <w:adjustRightInd w:val="0"/>
        <w:snapToGrid w:val="0"/>
        <w:spacing w:line="336" w:lineRule="auto"/>
        <w:ind w:firstLine="680" w:firstLineChars="200"/>
        <w:jc w:val="left"/>
        <w:rPr>
          <w:rFonts w:eastAsia="仿宋_GB2312"/>
          <w:spacing w:val="10"/>
          <w:sz w:val="32"/>
          <w:szCs w:val="32"/>
        </w:rPr>
      </w:pPr>
      <w:r>
        <w:rPr>
          <w:rFonts w:hint="eastAsia" w:ascii="黑体" w:hAnsi="黑体" w:eastAsia="黑体"/>
          <w:spacing w:val="10"/>
          <w:sz w:val="32"/>
          <w:szCs w:val="32"/>
        </w:rPr>
        <w:t>第</w:t>
      </w:r>
      <w:r>
        <w:rPr>
          <w:rFonts w:hint="eastAsia" w:ascii="黑体" w:hAnsi="黑体" w:eastAsia="黑体"/>
          <w:spacing w:val="10"/>
          <w:sz w:val="32"/>
          <w:szCs w:val="32"/>
          <w:lang w:val="en-US" w:eastAsia="zh-CN"/>
        </w:rPr>
        <w:t>十</w:t>
      </w:r>
      <w:r>
        <w:rPr>
          <w:rFonts w:hint="eastAsia" w:ascii="黑体" w:hAnsi="黑体" w:eastAsia="黑体"/>
          <w:spacing w:val="10"/>
          <w:sz w:val="32"/>
          <w:szCs w:val="32"/>
        </w:rPr>
        <w:t>条</w:t>
      </w:r>
      <w:r>
        <w:rPr>
          <w:rFonts w:hint="eastAsia" w:ascii="黑体" w:hAnsi="黑体" w:eastAsia="黑体" w:cs="黑体"/>
          <w:spacing w:val="10"/>
          <w:sz w:val="32"/>
          <w:szCs w:val="32"/>
          <w:lang w:val="en-US" w:eastAsia="zh-CN"/>
        </w:rPr>
        <w:t xml:space="preserve"> </w:t>
      </w:r>
      <w:r>
        <w:rPr>
          <w:rFonts w:hint="eastAsia" w:eastAsia="仿宋_GB2312"/>
          <w:spacing w:val="10"/>
          <w:sz w:val="32"/>
          <w:szCs w:val="32"/>
        </w:rPr>
        <w:t>部队、监狱、看守所、戒毒所等封闭式特殊区域，可设置一个零售点，不受单元网格规划数及总量规划数限制。</w:t>
      </w:r>
    </w:p>
    <w:p w14:paraId="0A7CAF67">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eastAsia="仿宋_GB2312"/>
          <w:spacing w:val="10"/>
          <w:sz w:val="32"/>
          <w:szCs w:val="32"/>
        </w:rPr>
        <w:t>辖区内高速公路单侧加油站</w:t>
      </w:r>
      <w:r>
        <w:rPr>
          <w:rFonts w:hint="eastAsia" w:eastAsia="仿宋_GB2312"/>
          <w:spacing w:val="10"/>
          <w:sz w:val="32"/>
          <w:szCs w:val="32"/>
        </w:rPr>
        <w:t>（含服务区）,可设置一个零售点，不受单元网格规划数及总量规划数限制。</w:t>
      </w:r>
    </w:p>
    <w:p w14:paraId="3ED6E3F5">
      <w:pPr>
        <w:keepNext w:val="0"/>
        <w:keepLines w:val="0"/>
        <w:pageBreakBefore w:val="0"/>
        <w:numPr>
          <w:ilvl w:val="0"/>
          <w:numId w:val="0"/>
        </w:numPr>
        <w:kinsoku/>
        <w:wordWrap/>
        <w:overflowPunct/>
        <w:topLinePunct w:val="0"/>
        <w:autoSpaceDE/>
        <w:autoSpaceDN/>
        <w:bidi w:val="0"/>
        <w:adjustRightInd w:val="0"/>
        <w:snapToGrid w:val="0"/>
        <w:spacing w:line="336" w:lineRule="auto"/>
        <w:ind w:firstLine="680" w:firstLineChars="200"/>
        <w:textAlignment w:val="baseline"/>
        <w:rPr>
          <w:rFonts w:eastAsia="仿宋_GB2312"/>
          <w:sz w:val="32"/>
          <w:szCs w:val="32"/>
        </w:rPr>
      </w:pPr>
      <w:r>
        <w:rPr>
          <w:rFonts w:hint="eastAsia" w:ascii="黑体" w:hAnsi="黑体" w:eastAsia="黑体"/>
          <w:spacing w:val="10"/>
          <w:sz w:val="32"/>
          <w:szCs w:val="32"/>
          <w:lang w:val="en-US" w:eastAsia="zh-CN"/>
        </w:rPr>
        <w:t xml:space="preserve">第十一条 </w:t>
      </w:r>
      <w:r>
        <w:rPr>
          <w:rFonts w:eastAsia="仿宋_GB2312"/>
          <w:sz w:val="32"/>
          <w:szCs w:val="32"/>
        </w:rPr>
        <w:t>本县</w:t>
      </w:r>
      <w:r>
        <w:rPr>
          <w:rFonts w:hint="eastAsia" w:eastAsia="仿宋_GB2312"/>
          <w:sz w:val="32"/>
          <w:szCs w:val="32"/>
        </w:rPr>
        <w:t>零售点合理布局规划数</w:t>
      </w:r>
      <w:r>
        <w:rPr>
          <w:rFonts w:eastAsia="仿宋_GB2312"/>
          <w:sz w:val="32"/>
          <w:szCs w:val="32"/>
        </w:rPr>
        <w:t>及规划区域、</w:t>
      </w:r>
      <w:r>
        <w:rPr>
          <w:rFonts w:hint="eastAsia" w:eastAsia="仿宋_GB2312"/>
          <w:sz w:val="32"/>
          <w:szCs w:val="32"/>
        </w:rPr>
        <w:t>单元网格</w:t>
      </w:r>
      <w:r>
        <w:rPr>
          <w:rFonts w:eastAsia="仿宋_GB2312"/>
          <w:sz w:val="32"/>
          <w:szCs w:val="32"/>
        </w:rPr>
        <w:t>等</w:t>
      </w:r>
      <w:r>
        <w:rPr>
          <w:rFonts w:hint="eastAsia" w:eastAsia="仿宋_GB2312"/>
          <w:sz w:val="32"/>
          <w:szCs w:val="32"/>
        </w:rPr>
        <w:t>情况</w:t>
      </w:r>
      <w:r>
        <w:rPr>
          <w:rFonts w:eastAsia="仿宋_GB2312"/>
          <w:sz w:val="32"/>
          <w:szCs w:val="32"/>
        </w:rPr>
        <w:t>详见《云南省</w:t>
      </w:r>
      <w:r>
        <w:rPr>
          <w:rFonts w:hint="eastAsia" w:eastAsia="仿宋_GB2312"/>
          <w:sz w:val="32"/>
          <w:szCs w:val="32"/>
        </w:rPr>
        <w:t>峨山彝族自治县</w:t>
      </w:r>
      <w:r>
        <w:rPr>
          <w:rFonts w:eastAsia="仿宋_GB2312"/>
          <w:sz w:val="32"/>
          <w:szCs w:val="32"/>
        </w:rPr>
        <w:t>烟草专卖局烟草制品零售点合理布局公示表》（附件</w:t>
      </w:r>
      <w:r>
        <w:rPr>
          <w:rFonts w:hint="eastAsia" w:eastAsia="仿宋_GB2312"/>
          <w:sz w:val="32"/>
          <w:szCs w:val="32"/>
        </w:rPr>
        <w:t>2</w:t>
      </w:r>
      <w:r>
        <w:rPr>
          <w:rFonts w:eastAsia="仿宋_GB2312"/>
          <w:sz w:val="32"/>
          <w:szCs w:val="32"/>
        </w:rPr>
        <w:t>）及《云南省</w:t>
      </w:r>
      <w:r>
        <w:rPr>
          <w:rFonts w:hint="eastAsia" w:eastAsia="仿宋_GB2312"/>
          <w:sz w:val="32"/>
          <w:szCs w:val="32"/>
        </w:rPr>
        <w:t>峨山彝族自治县</w:t>
      </w:r>
      <w:r>
        <w:rPr>
          <w:rFonts w:eastAsia="仿宋_GB2312"/>
          <w:sz w:val="32"/>
          <w:szCs w:val="32"/>
        </w:rPr>
        <w:t>烟草制品零售点合理布局网格示意图》（附件</w:t>
      </w:r>
      <w:r>
        <w:rPr>
          <w:rFonts w:hint="eastAsia" w:eastAsia="仿宋_GB2312"/>
          <w:sz w:val="32"/>
          <w:szCs w:val="32"/>
        </w:rPr>
        <w:t>3</w:t>
      </w:r>
      <w:r>
        <w:rPr>
          <w:rFonts w:eastAsia="仿宋_GB2312"/>
          <w:sz w:val="32"/>
          <w:szCs w:val="32"/>
        </w:rPr>
        <w:t>）。</w:t>
      </w:r>
    </w:p>
    <w:p w14:paraId="3DD3A31E">
      <w:pPr>
        <w:pStyle w:val="8"/>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eastAsia="仿宋_GB2312"/>
          <w:color w:val="auto"/>
          <w:sz w:val="32"/>
          <w:szCs w:val="32"/>
          <w:highlight w:val="none"/>
        </w:rPr>
      </w:pPr>
      <w:r>
        <w:rPr>
          <w:rFonts w:hint="eastAsia" w:ascii="Times New Roman" w:hAnsi="Times New Roman" w:eastAsia="黑体"/>
          <w:color w:val="auto"/>
          <w:sz w:val="32"/>
          <w:szCs w:val="32"/>
          <w:highlight w:val="none"/>
        </w:rPr>
        <w:t>第</w:t>
      </w:r>
      <w:r>
        <w:rPr>
          <w:rFonts w:hint="eastAsia" w:ascii="Times New Roman" w:hAnsi="Times New Roman" w:eastAsia="黑体"/>
          <w:color w:val="auto"/>
          <w:sz w:val="32"/>
          <w:szCs w:val="32"/>
          <w:highlight w:val="none"/>
          <w:lang w:val="en-US" w:eastAsia="zh-CN"/>
        </w:rPr>
        <w:t>三</w:t>
      </w:r>
      <w:r>
        <w:rPr>
          <w:rFonts w:hint="eastAsia" w:ascii="Times New Roman" w:hAnsi="Times New Roman" w:eastAsia="黑体"/>
          <w:color w:val="auto"/>
          <w:sz w:val="32"/>
          <w:szCs w:val="32"/>
          <w:highlight w:val="none"/>
        </w:rPr>
        <w:t>章 雪茄烟专营零售点布局标准</w:t>
      </w:r>
    </w:p>
    <w:p w14:paraId="38676D5E">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第十二条 </w:t>
      </w:r>
      <w:r>
        <w:rPr>
          <w:rFonts w:hint="eastAsia" w:eastAsia="仿宋_GB2312"/>
          <w:color w:val="auto"/>
          <w:spacing w:val="10"/>
          <w:sz w:val="32"/>
          <w:szCs w:val="32"/>
          <w:highlight w:val="none"/>
        </w:rPr>
        <w:t>本章适用于经营范围仅为雪茄烟本店零售的零售点布局管理。</w:t>
      </w:r>
    </w:p>
    <w:p w14:paraId="4519C662">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第十三条 </w:t>
      </w:r>
      <w:r>
        <w:rPr>
          <w:rFonts w:hint="eastAsia" w:ascii="仿宋_GB2312" w:hAnsi="仿宋_GB2312" w:eastAsia="仿宋_GB2312" w:cs="仿宋_GB2312"/>
          <w:color w:val="auto"/>
          <w:spacing w:val="10"/>
          <w:sz w:val="32"/>
          <w:szCs w:val="32"/>
          <w:highlight w:val="none"/>
        </w:rPr>
        <w:t>雪茄烟专营零售点数量实行总量控制、动态调整模式，且不受其他烟草制品（含电子烟）零售点距离限制，规划数详见《云南省</w:t>
      </w:r>
      <w:r>
        <w:rPr>
          <w:rFonts w:hint="eastAsia" w:ascii="仿宋_GB2312" w:hAnsi="仿宋_GB2312" w:eastAsia="仿宋_GB2312" w:cs="仿宋_GB2312"/>
          <w:color w:val="auto"/>
          <w:spacing w:val="10"/>
          <w:sz w:val="32"/>
          <w:szCs w:val="32"/>
          <w:highlight w:val="none"/>
          <w:lang w:val="en-US" w:eastAsia="zh-CN"/>
        </w:rPr>
        <w:t>峨山彝族自治县</w:t>
      </w:r>
      <w:r>
        <w:rPr>
          <w:rFonts w:hint="eastAsia" w:ascii="仿宋_GB2312" w:hAnsi="仿宋_GB2312" w:eastAsia="仿宋_GB2312" w:cs="仿宋_GB2312"/>
          <w:color w:val="auto"/>
          <w:spacing w:val="10"/>
          <w:sz w:val="32"/>
          <w:szCs w:val="32"/>
          <w:highlight w:val="none"/>
        </w:rPr>
        <w:t>雪茄烟专营零售点合理布局公示表》（附件4）。</w:t>
      </w:r>
    </w:p>
    <w:p w14:paraId="25499D53">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eastAsia="仿宋_GB2312"/>
          <w:color w:val="auto"/>
          <w:spacing w:val="10"/>
          <w:sz w:val="32"/>
          <w:szCs w:val="32"/>
          <w:highlight w:val="none"/>
        </w:rPr>
      </w:pPr>
      <w:r>
        <w:rPr>
          <w:rFonts w:hint="eastAsia" w:ascii="黑体" w:hAnsi="黑体" w:eastAsia="黑体"/>
          <w:color w:val="auto"/>
          <w:spacing w:val="10"/>
          <w:sz w:val="32"/>
          <w:szCs w:val="32"/>
          <w:highlight w:val="none"/>
          <w:lang w:val="en-US" w:eastAsia="zh-CN"/>
        </w:rPr>
        <w:t xml:space="preserve">第十四条 </w:t>
      </w:r>
      <w:r>
        <w:rPr>
          <w:rFonts w:hint="eastAsia" w:ascii="仿宋_GB2312" w:hAnsi="仿宋_GB2312" w:eastAsia="仿宋_GB2312" w:cs="仿宋_GB2312"/>
          <w:color w:val="auto"/>
          <w:spacing w:val="10"/>
          <w:sz w:val="32"/>
          <w:szCs w:val="32"/>
          <w:highlight w:val="none"/>
        </w:rPr>
        <w:t>取得雪茄烟本店零售许可的经营主体如需变更烟草专卖零售许可相关事项的，必须满足本规划及《云南省电子烟零售点布局规划》相关条件并按照有关规定办理。</w:t>
      </w:r>
    </w:p>
    <w:p w14:paraId="271DCD95">
      <w:pPr>
        <w:pStyle w:val="8"/>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hint="eastAsia" w:ascii="黑体" w:hAnsi="黑体" w:eastAsia="黑体" w:cs="黑体"/>
          <w:color w:val="auto"/>
          <w:spacing w:val="10"/>
          <w:sz w:val="32"/>
          <w:szCs w:val="32"/>
          <w:highlight w:val="none"/>
        </w:rPr>
      </w:pPr>
      <w:r>
        <w:rPr>
          <w:rFonts w:hint="eastAsia" w:ascii="Times New Roman" w:hAnsi="Times New Roman" w:eastAsia="黑体"/>
          <w:color w:val="auto"/>
          <w:sz w:val="32"/>
          <w:szCs w:val="32"/>
          <w:highlight w:val="none"/>
        </w:rPr>
        <w:t>第</w:t>
      </w:r>
      <w:r>
        <w:rPr>
          <w:rFonts w:hint="eastAsia" w:ascii="Times New Roman" w:hAnsi="Times New Roman" w:eastAsia="黑体"/>
          <w:color w:val="auto"/>
          <w:sz w:val="32"/>
          <w:szCs w:val="32"/>
          <w:highlight w:val="none"/>
          <w:lang w:val="en-US" w:eastAsia="zh-CN"/>
        </w:rPr>
        <w:t>四</w:t>
      </w:r>
      <w:r>
        <w:rPr>
          <w:rFonts w:hint="eastAsia" w:ascii="Times New Roman" w:hAnsi="Times New Roman" w:eastAsia="黑体"/>
          <w:color w:val="auto"/>
          <w:sz w:val="32"/>
          <w:szCs w:val="32"/>
          <w:highlight w:val="none"/>
        </w:rPr>
        <w:t>章 放宽及限制情形</w:t>
      </w:r>
    </w:p>
    <w:p w14:paraId="09FCCC52">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ascii="仿宋_GB2312" w:hAnsi="仿宋_GB2312" w:eastAsia="仿宋_GB2312" w:cs="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五</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具有下列情形之一的，不予发放烟草专卖零售许可证：</w:t>
      </w:r>
    </w:p>
    <w:p w14:paraId="7EC21F95">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（一）申请人为无民事行为能力人或者</w:t>
      </w:r>
      <w:r>
        <w:rPr>
          <w:rFonts w:hint="eastAsia" w:ascii="仿宋_GB2312" w:hAnsi="仿宋_GB2312" w:eastAsia="仿宋_GB2312" w:cs="仿宋_GB2312"/>
          <w:spacing w:val="10"/>
          <w:sz w:val="32"/>
          <w:szCs w:val="32"/>
          <w:highlight w:val="none"/>
        </w:rPr>
        <w:t>限制</w:t>
      </w:r>
      <w:r>
        <w:rPr>
          <w:rFonts w:hint="eastAsia" w:ascii="仿宋_GB2312" w:hAnsi="仿宋_GB2312" w:eastAsia="仿宋_GB2312" w:cs="仿宋_GB2312"/>
          <w:spacing w:val="10"/>
          <w:sz w:val="32"/>
          <w:szCs w:val="32"/>
          <w:highlight w:val="none"/>
          <w:lang w:val="en-US" w:eastAsia="zh-CN"/>
        </w:rPr>
        <w:t>民事</w:t>
      </w:r>
      <w:r>
        <w:rPr>
          <w:rFonts w:hint="eastAsia" w:ascii="仿宋_GB2312" w:hAnsi="仿宋_GB2312" w:eastAsia="仿宋_GB2312" w:cs="仿宋_GB2312"/>
          <w:spacing w:val="10"/>
          <w:sz w:val="32"/>
          <w:szCs w:val="32"/>
          <w:highlight w:val="none"/>
        </w:rPr>
        <w:t>行为</w:t>
      </w:r>
      <w:r>
        <w:rPr>
          <w:rFonts w:hint="eastAsia" w:ascii="仿宋_GB2312" w:hAnsi="仿宋_GB2312" w:eastAsia="仿宋_GB2312" w:cs="仿宋_GB2312"/>
          <w:spacing w:val="10"/>
          <w:sz w:val="32"/>
          <w:szCs w:val="32"/>
        </w:rPr>
        <w:t>能力人的；</w:t>
      </w:r>
    </w:p>
    <w:p w14:paraId="77605EF9">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（二）申请人隐瞒有关情况或者提供虚假材料的；因申请人隐瞒有关情况或者提供虚假材料，烟草专卖局作出不予受理或者不予发证决定后，申请人一年内再次提出申请的；</w:t>
      </w:r>
    </w:p>
    <w:p w14:paraId="6F9D73CC">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14:paraId="73F12180">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（四）外商投资的商业企业或者个体工商户，但有外资成分以提供住宿、餐饮、休闲、娱乐为主要经营的宾馆、酒店等属于娱乐服务类的企业除外；</w:t>
      </w:r>
    </w:p>
    <w:p w14:paraId="683B921D">
      <w:pPr>
        <w:keepNext w:val="0"/>
        <w:keepLines w:val="0"/>
        <w:pageBreakBefore w:val="0"/>
        <w:numPr>
          <w:ilvl w:val="255"/>
          <w:numId w:val="0"/>
        </w:numPr>
        <w:kinsoku/>
        <w:wordWrap/>
        <w:overflowPunct/>
        <w:topLinePunct w:val="0"/>
        <w:autoSpaceDE/>
        <w:autoSpaceDN/>
        <w:bidi w:val="0"/>
        <w:adjustRightInd w:val="0"/>
        <w:snapToGrid w:val="0"/>
        <w:spacing w:line="336" w:lineRule="auto"/>
        <w:ind w:left="17"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（五）无固定经营场所的：包括但不限于流动的摊、点、车、棚、简易板房、活动板房、临时占道的建筑等；</w:t>
      </w:r>
    </w:p>
    <w:p w14:paraId="06857D6A">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（六）经营场所与住所不相独立的：包括但不限于经营场所为与住所可连通通行的客厅、餐厅、卧室、阳台、地下室、车库、储藏室等或居民楼内公用通道、楼梯间等；</w:t>
      </w:r>
    </w:p>
    <w:p w14:paraId="315E726C">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（七）经营场所已经办理了仍在有效期内的烟草专卖零售许可证的；经营场所位于党政机关内部的；经营场所基于安全因素不适宜经营卷烟的；</w:t>
      </w:r>
    </w:p>
    <w:p w14:paraId="4E87DF6B">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（八）双江街道办事处所在地中小学、幼儿园学生正常出入的校门口（含通道）100米以内；其他街道办事处、乡镇政府所在地中小学、幼儿园学生正常出入的校门口（含通道）50米以内；</w:t>
      </w:r>
    </w:p>
    <w:p w14:paraId="7B9B13DB">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（九）利用自动售货机或者其他自动售货形式，销售或者变相销售烟草制品的，或者通过信息网络销售烟草专卖品的；</w:t>
      </w:r>
    </w:p>
    <w:p w14:paraId="4CEF8E7D">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（十）经营业态存在容易诱导未成年人关注、购买、吸食卷烟或其他不利于未成年人保护的；经营业态专业性较强，且与烟草制品零售业务没有直接或间接互补营销关系的；</w:t>
      </w:r>
    </w:p>
    <w:p w14:paraId="18493681">
      <w:pPr>
        <w:keepNext w:val="0"/>
        <w:keepLines w:val="0"/>
        <w:pageBreakBefore w:val="0"/>
        <w:kinsoku/>
        <w:wordWrap/>
        <w:overflowPunct/>
        <w:topLinePunct w:val="0"/>
        <w:autoSpaceDE/>
        <w:autoSpaceDN/>
        <w:bidi w:val="0"/>
        <w:adjustRightInd w:val="0"/>
        <w:snapToGrid w:val="0"/>
        <w:spacing w:line="336" w:lineRule="auto"/>
        <w:ind w:firstLine="680" w:firstLineChars="200"/>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（十一）法律、法规、规章、规范性文件等规定的其他不予许可的情形。</w:t>
      </w:r>
    </w:p>
    <w:p w14:paraId="20016C92">
      <w:pPr>
        <w:keepNext w:val="0"/>
        <w:keepLines w:val="0"/>
        <w:pageBreakBefore w:val="0"/>
        <w:widowControl/>
        <w:kinsoku/>
        <w:wordWrap/>
        <w:overflowPunct/>
        <w:topLinePunct w:val="0"/>
        <w:autoSpaceDE/>
        <w:autoSpaceDN/>
        <w:bidi w:val="0"/>
        <w:spacing w:line="336" w:lineRule="auto"/>
        <w:ind w:firstLine="680" w:firstLineChars="200"/>
        <w:jc w:val="left"/>
        <w:rPr>
          <w:rFonts w:hint="eastAsia" w:ascii="仿宋_GB2312" w:hAnsi="仿宋_GB2312" w:eastAsia="仿宋_GB2312" w:cs="仿宋_GB2312"/>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六</w:t>
      </w:r>
      <w:r>
        <w:rPr>
          <w:rFonts w:hint="eastAsia" w:ascii="黑体" w:hAnsi="黑体" w:eastAsia="黑体" w:cs="黑体"/>
          <w:spacing w:val="10"/>
          <w:sz w:val="32"/>
          <w:szCs w:val="32"/>
        </w:rPr>
        <w:t>条</w:t>
      </w:r>
      <w:r>
        <w:rPr>
          <w:rFonts w:hint="eastAsia" w:ascii="黑体" w:hAnsi="黑体" w:eastAsia="黑体" w:cs="黑体"/>
          <w:spacing w:val="10"/>
          <w:sz w:val="32"/>
          <w:szCs w:val="32"/>
          <w:lang w:val="en-US" w:eastAsia="zh-CN"/>
        </w:rPr>
        <w:t xml:space="preserve"> </w:t>
      </w:r>
      <w:r>
        <w:rPr>
          <w:rFonts w:hint="eastAsia" w:ascii="仿宋_GB2312" w:hAnsi="仿宋_GB2312" w:eastAsia="仿宋_GB2312" w:cs="仿宋_GB2312"/>
          <w:sz w:val="32"/>
          <w:szCs w:val="32"/>
        </w:rPr>
        <w:t>优抚对象、社会弱势群体等特殊群体申请零售许可证的，受所在单元网格规划数限制，零售点间距可放宽至本单元网格间距标准的80%执行。本规定政策，同一特殊群体申请人在云南省内仅适用一次。</w:t>
      </w:r>
    </w:p>
    <w:p w14:paraId="4A0C0EF4">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烈士家属、因公牺牲军人家属；见义勇为牺牲人员家属。（本条中的家属包括父母、子女、配偶。）</w:t>
      </w:r>
    </w:p>
    <w:p w14:paraId="74D352C8">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符合以下条件之一，具有从事烟草专卖零售经营业务相应能力，且具有完全民事行为能力的残疾人：</w:t>
      </w:r>
    </w:p>
    <w:p w14:paraId="724FB82E">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视力残疾：一级、二级；</w:t>
      </w:r>
    </w:p>
    <w:p w14:paraId="0DB5751B">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听力残疾：一级、二级；</w:t>
      </w:r>
    </w:p>
    <w:p w14:paraId="5A3CF4B2">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言语残疾：一级、二级；</w:t>
      </w:r>
    </w:p>
    <w:p w14:paraId="3F5F17E4">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肢体残疾：一级、二级</w:t>
      </w:r>
      <w:bookmarkStart w:id="2" w:name="_GoBack"/>
      <w:bookmarkEnd w:id="2"/>
      <w:r>
        <w:rPr>
          <w:rFonts w:hint="eastAsia" w:ascii="仿宋_GB2312" w:hAnsi="仿宋_GB2312" w:eastAsia="仿宋_GB2312" w:cs="仿宋_GB2312"/>
          <w:sz w:val="32"/>
          <w:szCs w:val="32"/>
        </w:rPr>
        <w:t>。</w:t>
      </w:r>
    </w:p>
    <w:p w14:paraId="041BF59A">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国家明文给予政策扶持，确实具有需要扶持照顾的其他特殊情况的优抚对象，经峨山县烟草专卖局集体研究并向上级烟草专卖局报备，可以放宽办证条件。</w:t>
      </w:r>
    </w:p>
    <w:p w14:paraId="3D91FD0A">
      <w:pPr>
        <w:keepNext w:val="0"/>
        <w:keepLines w:val="0"/>
        <w:pageBreakBefore w:val="0"/>
        <w:widowControl/>
        <w:kinsoku/>
        <w:wordWrap/>
        <w:overflowPunct/>
        <w:topLinePunct w:val="0"/>
        <w:autoSpaceDE/>
        <w:autoSpaceDN/>
        <w:bidi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申请人应提交合法有效的证明文件。</w:t>
      </w:r>
    </w:p>
    <w:p w14:paraId="242E05B1">
      <w:pPr>
        <w:keepNext w:val="0"/>
        <w:keepLines w:val="0"/>
        <w:pageBreakBefore w:val="0"/>
        <w:widowControl/>
        <w:kinsoku/>
        <w:wordWrap/>
        <w:overflowPunct/>
        <w:topLinePunct w:val="0"/>
        <w:autoSpaceDE/>
        <w:autoSpaceDN/>
        <w:bidi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七</w:t>
      </w:r>
      <w:r>
        <w:rPr>
          <w:rFonts w:hint="eastAsia" w:ascii="黑体" w:hAnsi="黑体" w:eastAsia="黑体" w:cs="黑体"/>
          <w:spacing w:val="10"/>
          <w:sz w:val="32"/>
          <w:szCs w:val="32"/>
        </w:rPr>
        <w:t xml:space="preserve">条 </w:t>
      </w:r>
      <w:r>
        <w:rPr>
          <w:rFonts w:hint="eastAsia" w:ascii="仿宋_GB2312" w:hAnsi="仿宋_GB2312" w:eastAsia="仿宋_GB2312" w:cs="仿宋_GB2312"/>
          <w:sz w:val="32"/>
          <w:szCs w:val="32"/>
        </w:rPr>
        <w:t>因道路规划、城市建设等客观原因，造成持证人无法在原核定地址</w:t>
      </w:r>
      <w:r>
        <w:rPr>
          <w:rFonts w:eastAsia="仿宋_GB2312"/>
          <w:spacing w:val="10"/>
          <w:sz w:val="32"/>
          <w:szCs w:val="32"/>
        </w:rPr>
        <w:t>经营之日起三十日内，持证人申请变更到</w:t>
      </w:r>
      <w:r>
        <w:rPr>
          <w:rFonts w:hint="eastAsia" w:eastAsia="仿宋_GB2312"/>
          <w:spacing w:val="10"/>
          <w:sz w:val="32"/>
          <w:szCs w:val="32"/>
        </w:rPr>
        <w:t>本单元网格内新址</w:t>
      </w:r>
      <w:r>
        <w:rPr>
          <w:rFonts w:eastAsia="仿宋_GB2312"/>
          <w:spacing w:val="10"/>
          <w:sz w:val="32"/>
          <w:szCs w:val="32"/>
        </w:rPr>
        <w:t>经营的，</w:t>
      </w:r>
      <w:r>
        <w:rPr>
          <w:rFonts w:hint="eastAsia" w:eastAsia="仿宋_GB2312"/>
          <w:spacing w:val="10"/>
          <w:sz w:val="32"/>
          <w:szCs w:val="32"/>
        </w:rPr>
        <w:t>不受所在单元网格规划数限制，</w:t>
      </w:r>
      <w:r>
        <w:rPr>
          <w:rFonts w:eastAsia="仿宋_GB2312"/>
          <w:spacing w:val="10"/>
          <w:sz w:val="32"/>
          <w:szCs w:val="32"/>
        </w:rPr>
        <w:t>零售点间距可放宽至</w:t>
      </w:r>
      <w:r>
        <w:rPr>
          <w:rFonts w:hint="eastAsia" w:eastAsia="仿宋_GB2312"/>
          <w:spacing w:val="10"/>
          <w:sz w:val="32"/>
          <w:szCs w:val="32"/>
        </w:rPr>
        <w:t>本</w:t>
      </w:r>
      <w:r>
        <w:rPr>
          <w:rFonts w:eastAsia="仿宋_GB2312"/>
          <w:spacing w:val="10"/>
          <w:sz w:val="32"/>
          <w:szCs w:val="32"/>
        </w:rPr>
        <w:t>单元网格间距标准的</w:t>
      </w:r>
      <w:r>
        <w:rPr>
          <w:rFonts w:hint="eastAsia" w:ascii="仿宋_GB2312" w:hAnsi="仿宋_GB2312" w:eastAsia="仿宋_GB2312" w:cs="仿宋_GB2312"/>
          <w:sz w:val="32"/>
          <w:szCs w:val="32"/>
        </w:rPr>
        <w:t>40%执行</w:t>
      </w:r>
      <w:r>
        <w:rPr>
          <w:rFonts w:eastAsia="仿宋_GB2312"/>
          <w:spacing w:val="10"/>
          <w:sz w:val="32"/>
          <w:szCs w:val="32"/>
        </w:rPr>
        <w:t>。</w:t>
      </w:r>
    </w:p>
    <w:p w14:paraId="1A1E1EB1">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eastAsia="仿宋_GB2312"/>
          <w:spacing w:val="10"/>
          <w:sz w:val="32"/>
          <w:szCs w:val="32"/>
        </w:rPr>
      </w:pPr>
      <w:r>
        <w:rPr>
          <w:rFonts w:hint="eastAsia" w:eastAsia="仿宋_GB2312"/>
          <w:spacing w:val="10"/>
          <w:sz w:val="32"/>
          <w:szCs w:val="32"/>
        </w:rPr>
        <w:t>申请变更到本县其他单元网格的，受所在单元网格规划数限制，零售点间距可放宽至本单元网格间距标准</w:t>
      </w:r>
      <w:r>
        <w:rPr>
          <w:rFonts w:hint="eastAsia" w:ascii="仿宋_GB2312" w:hAnsi="仿宋_GB2312" w:eastAsia="仿宋_GB2312" w:cs="仿宋_GB2312"/>
          <w:sz w:val="32"/>
          <w:szCs w:val="32"/>
        </w:rPr>
        <w:t>的80%执行</w:t>
      </w:r>
      <w:r>
        <w:rPr>
          <w:rFonts w:hint="eastAsia" w:eastAsia="仿宋_GB2312"/>
          <w:spacing w:val="10"/>
          <w:sz w:val="32"/>
          <w:szCs w:val="32"/>
        </w:rPr>
        <w:t>。</w:t>
      </w:r>
    </w:p>
    <w:p w14:paraId="321180AC">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ascii="仿宋_GB2312" w:hAnsi="仿宋_GB2312" w:eastAsia="仿宋_GB2312" w:cs="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八</w:t>
      </w:r>
      <w:r>
        <w:rPr>
          <w:rFonts w:hint="eastAsia" w:ascii="黑体" w:hAnsi="黑体" w:eastAsia="黑体" w:cs="黑体"/>
          <w:spacing w:val="10"/>
          <w:sz w:val="32"/>
          <w:szCs w:val="32"/>
        </w:rPr>
        <w:t>条</w:t>
      </w:r>
      <w:r>
        <w:rPr>
          <w:rFonts w:hint="eastAsia" w:eastAsia="仿宋_GB2312"/>
          <w:b/>
          <w:bCs/>
          <w:spacing w:val="10"/>
          <w:sz w:val="32"/>
          <w:szCs w:val="32"/>
        </w:rPr>
        <w:t xml:space="preserve"> </w:t>
      </w:r>
      <w:r>
        <w:rPr>
          <w:rFonts w:hint="eastAsia" w:ascii="仿宋_GB2312" w:hAnsi="仿宋_GB2312" w:eastAsia="仿宋_GB2312" w:cs="仿宋_GB2312"/>
          <w:spacing w:val="10"/>
          <w:sz w:val="32"/>
          <w:szCs w:val="32"/>
        </w:rPr>
        <w:t>因中小学及幼儿园新建、改扩建等客观原因，造成持证人无法在原核定地址经营之日起三十日内，持证人申请歇业并在原单元网格内新址申请新办的，不受所在单元网格规划数限制，零售点间距可放宽至本单元网格间距标准的40%执行。</w:t>
      </w:r>
    </w:p>
    <w:p w14:paraId="73F5DFC9">
      <w:pPr>
        <w:keepNext w:val="0"/>
        <w:keepLines w:val="0"/>
        <w:pageBreakBefore w:val="0"/>
        <w:kinsoku/>
        <w:wordWrap/>
        <w:overflowPunct/>
        <w:topLinePunct w:val="0"/>
        <w:autoSpaceDE/>
        <w:autoSpaceDN/>
        <w:bidi w:val="0"/>
        <w:adjustRightInd w:val="0"/>
        <w:snapToGrid w:val="0"/>
        <w:spacing w:line="336" w:lineRule="auto"/>
        <w:ind w:firstLine="680" w:firstLineChars="200"/>
        <w:jc w:val="left"/>
        <w:textAlignment w:val="baseline"/>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在本县其他单元网格申请新办的，受所在单元网格规划数限制，间距标准可放宽至本单元网格间距标准的80%执行。</w:t>
      </w:r>
    </w:p>
    <w:p w14:paraId="04F5430C">
      <w:pPr>
        <w:pStyle w:val="8"/>
        <w:keepNext w:val="0"/>
        <w:keepLines w:val="0"/>
        <w:pageBreakBefore w:val="0"/>
        <w:kinsoku/>
        <w:wordWrap/>
        <w:overflowPunct/>
        <w:topLinePunct w:val="0"/>
        <w:autoSpaceDE/>
        <w:autoSpaceDN/>
        <w:bidi w:val="0"/>
        <w:snapToGrid w:val="0"/>
        <w:spacing w:before="312" w:beforeLines="100" w:after="312" w:afterLines="100" w:line="336" w:lineRule="auto"/>
        <w:textAlignment w:val="baseline"/>
        <w:rPr>
          <w:rFonts w:ascii="Times New Roman" w:hAnsi="Times New Roman" w:eastAsia="黑体"/>
          <w:sz w:val="32"/>
          <w:szCs w:val="32"/>
        </w:rPr>
      </w:pPr>
      <w:r>
        <w:rPr>
          <w:rFonts w:hint="eastAsia" w:ascii="Times New Roman" w:hAnsi="Times New Roman" w:eastAsia="黑体"/>
          <w:sz w:val="32"/>
          <w:szCs w:val="32"/>
        </w:rPr>
        <w:t>第</w:t>
      </w:r>
      <w:r>
        <w:rPr>
          <w:rFonts w:hint="eastAsia" w:ascii="Times New Roman" w:hAnsi="Times New Roman" w:eastAsia="黑体"/>
          <w:sz w:val="32"/>
          <w:szCs w:val="32"/>
          <w:lang w:val="en-US" w:eastAsia="zh-CN"/>
        </w:rPr>
        <w:t>五</w:t>
      </w:r>
      <w:r>
        <w:rPr>
          <w:rFonts w:hint="eastAsia" w:ascii="Times New Roman" w:hAnsi="Times New Roman" w:eastAsia="黑体"/>
          <w:sz w:val="32"/>
          <w:szCs w:val="32"/>
        </w:rPr>
        <w:t xml:space="preserve">章 </w:t>
      </w:r>
      <w:r>
        <w:rPr>
          <w:rFonts w:ascii="Times New Roman" w:hAnsi="Times New Roman" w:eastAsia="黑体"/>
          <w:sz w:val="32"/>
          <w:szCs w:val="32"/>
        </w:rPr>
        <w:t>附则</w:t>
      </w:r>
    </w:p>
    <w:p w14:paraId="3C77C2DA">
      <w:pPr>
        <w:keepNext w:val="0"/>
        <w:keepLines w:val="0"/>
        <w:pageBreakBefore w:val="0"/>
        <w:kinsoku/>
        <w:wordWrap/>
        <w:overflowPunct/>
        <w:topLinePunct w:val="0"/>
        <w:autoSpaceDE/>
        <w:autoSpaceDN/>
        <w:bidi w:val="0"/>
        <w:snapToGrid w:val="0"/>
        <w:spacing w:line="336" w:lineRule="auto"/>
        <w:ind w:firstLine="680" w:firstLineChars="200"/>
        <w:jc w:val="left"/>
        <w:rPr>
          <w:rFonts w:hint="eastAsia" w:ascii="仿宋_GB2312" w:hAnsi="仿宋_GB2312" w:eastAsia="仿宋_GB2312" w:cs="仿宋_GB2312"/>
          <w:spacing w:val="10"/>
          <w:sz w:val="32"/>
          <w:szCs w:val="32"/>
        </w:rPr>
      </w:pPr>
      <w:r>
        <w:rPr>
          <w:rFonts w:hint="eastAsia" w:ascii="黑体" w:hAnsi="黑体" w:eastAsia="黑体" w:cs="黑体"/>
          <w:spacing w:val="10"/>
          <w:sz w:val="32"/>
          <w:szCs w:val="32"/>
        </w:rPr>
        <w:t>第十</w:t>
      </w:r>
      <w:r>
        <w:rPr>
          <w:rFonts w:hint="eastAsia" w:ascii="黑体" w:hAnsi="黑体" w:eastAsia="黑体" w:cs="黑体"/>
          <w:spacing w:val="10"/>
          <w:sz w:val="32"/>
          <w:szCs w:val="32"/>
          <w:lang w:val="en-US" w:eastAsia="zh-CN"/>
        </w:rPr>
        <w:t>九</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本规划实施后，如遇相关法律、法规、规章及规范性文件调整的，根据最新规定进行调整，及时报当地本级人民政府法制部门备案后公布实施。</w:t>
      </w:r>
    </w:p>
    <w:p w14:paraId="770B5855">
      <w:pPr>
        <w:keepNext w:val="0"/>
        <w:keepLines w:val="0"/>
        <w:pageBreakBefore w:val="0"/>
        <w:kinsoku/>
        <w:wordWrap/>
        <w:overflowPunct/>
        <w:topLinePunct w:val="0"/>
        <w:autoSpaceDE/>
        <w:autoSpaceDN/>
        <w:bidi w:val="0"/>
        <w:snapToGrid w:val="0"/>
        <w:spacing w:line="336" w:lineRule="auto"/>
        <w:ind w:firstLine="680" w:firstLineChars="200"/>
        <w:jc w:val="left"/>
        <w:rPr>
          <w:rFonts w:hint="eastAsia" w:ascii="仿宋_GB2312" w:hAnsi="仿宋_GB2312" w:eastAsia="仿宋_GB2312" w:cs="仿宋_GB2312"/>
          <w:color w:val="auto"/>
          <w:sz w:val="32"/>
          <w:szCs w:val="32"/>
          <w:highlight w:val="none"/>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本县</w:t>
      </w:r>
      <w:r>
        <w:rPr>
          <w:rFonts w:hint="eastAsia" w:ascii="仿宋_GB2312" w:hAnsi="仿宋_GB2312" w:eastAsia="仿宋_GB2312" w:cs="仿宋_GB2312"/>
          <w:sz w:val="32"/>
          <w:szCs w:val="32"/>
        </w:rPr>
        <w:t>零售点合理布局实行定期评价、动态管理。每季度根据本地经济发展、城乡建设、市场形势等变化情况进行调整并公示后实施。</w:t>
      </w:r>
      <w:r>
        <w:rPr>
          <w:rFonts w:hint="eastAsia" w:ascii="仿宋_GB2312" w:hAnsi="仿宋_GB2312" w:eastAsia="仿宋_GB2312" w:cs="仿宋_GB2312"/>
          <w:color w:val="auto"/>
          <w:sz w:val="32"/>
          <w:szCs w:val="32"/>
          <w:highlight w:val="none"/>
        </w:rPr>
        <w:t>动态调整规则详见《云南省</w:t>
      </w:r>
      <w:r>
        <w:rPr>
          <w:rFonts w:hint="eastAsia" w:ascii="仿宋_GB2312" w:hAnsi="仿宋_GB2312" w:eastAsia="仿宋_GB2312" w:cs="仿宋_GB2312"/>
          <w:color w:val="auto"/>
          <w:sz w:val="32"/>
          <w:szCs w:val="32"/>
          <w:highlight w:val="none"/>
          <w:lang w:val="en-US" w:eastAsia="zh-CN"/>
        </w:rPr>
        <w:t>峨山彝族自治县</w:t>
      </w:r>
      <w:r>
        <w:rPr>
          <w:rFonts w:hint="eastAsia" w:ascii="仿宋_GB2312" w:hAnsi="仿宋_GB2312" w:eastAsia="仿宋_GB2312" w:cs="仿宋_GB2312"/>
          <w:color w:val="auto"/>
          <w:sz w:val="32"/>
          <w:szCs w:val="32"/>
          <w:highlight w:val="none"/>
        </w:rPr>
        <w:t>烟草制品零售点合理布局规划数动态调整管理制度》（附件5）。</w:t>
      </w:r>
    </w:p>
    <w:p w14:paraId="6C3CB0D7">
      <w:pPr>
        <w:keepNext w:val="0"/>
        <w:keepLines w:val="0"/>
        <w:pageBreakBefore w:val="0"/>
        <w:kinsoku/>
        <w:wordWrap/>
        <w:overflowPunct/>
        <w:topLinePunct w:val="0"/>
        <w:autoSpaceDE/>
        <w:autoSpaceDN/>
        <w:bidi w:val="0"/>
        <w:snapToGrid w:val="0"/>
        <w:spacing w:line="336" w:lineRule="auto"/>
        <w:ind w:firstLine="640" w:firstLineChars="200"/>
        <w:jc w:val="left"/>
        <w:rPr>
          <w:rFonts w:hint="eastAsia" w:ascii="仿宋_GB2312" w:hAnsi="仿宋_GB2312" w:eastAsia="仿宋_GB2312" w:cs="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二十一</w:t>
      </w:r>
      <w:r>
        <w:rPr>
          <w:rFonts w:hint="eastAsia" w:ascii="黑体" w:hAnsi="黑体" w:eastAsia="黑体" w:cs="黑体"/>
          <w:sz w:val="32"/>
          <w:szCs w:val="32"/>
        </w:rPr>
        <w:t xml:space="preserve">条 </w:t>
      </w:r>
      <w:r>
        <w:rPr>
          <w:rFonts w:hint="eastAsia" w:ascii="仿宋_GB2312" w:hAnsi="仿宋_GB2312" w:eastAsia="仿宋_GB2312" w:cs="仿宋_GB2312"/>
          <w:sz w:val="32"/>
          <w:szCs w:val="32"/>
        </w:rPr>
        <w:t>对暂不符合本布局规划条件的申请人，实行排队轮候制度。排队轮候制度详见《云南省峨山彝族自治县烟草制品零售点排队轮候制度》（附件</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w:t>
      </w:r>
    </w:p>
    <w:p w14:paraId="281360DA">
      <w:pPr>
        <w:keepNext w:val="0"/>
        <w:keepLines w:val="0"/>
        <w:pageBreakBefore w:val="0"/>
        <w:kinsoku/>
        <w:wordWrap/>
        <w:overflowPunct/>
        <w:topLinePunct w:val="0"/>
        <w:autoSpaceDE/>
        <w:autoSpaceDN/>
        <w:bidi w:val="0"/>
        <w:snapToGrid w:val="0"/>
        <w:spacing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符合第十</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条、第十</w:t>
      </w: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rPr>
        <w:t>条情形且不受单元网格规划数限制的，申请人不实行排队轮候制度。</w:t>
      </w:r>
    </w:p>
    <w:p w14:paraId="78675DEC">
      <w:pPr>
        <w:keepNext w:val="0"/>
        <w:keepLines w:val="0"/>
        <w:pageBreakBefore w:val="0"/>
        <w:kinsoku/>
        <w:wordWrap/>
        <w:overflowPunct/>
        <w:topLinePunct w:val="0"/>
        <w:autoSpaceDE/>
        <w:autoSpaceDN/>
        <w:bidi w:val="0"/>
        <w:snapToGrid w:val="0"/>
        <w:spacing w:line="336" w:lineRule="auto"/>
        <w:ind w:firstLine="640" w:firstLineChars="200"/>
        <w:jc w:val="left"/>
        <w:rPr>
          <w:rFonts w:eastAsia="仿宋_GB2312"/>
          <w:sz w:val="32"/>
          <w:szCs w:val="32"/>
        </w:rPr>
      </w:pPr>
      <w:r>
        <w:rPr>
          <w:rFonts w:hint="eastAsia" w:ascii="黑体" w:hAnsi="黑体" w:eastAsia="黑体" w:cs="黑体"/>
          <w:sz w:val="32"/>
          <w:szCs w:val="32"/>
        </w:rPr>
        <w:t>第</w:t>
      </w:r>
      <w:r>
        <w:rPr>
          <w:rFonts w:hint="eastAsia" w:ascii="黑体" w:hAnsi="黑体" w:eastAsia="黑体" w:cs="黑体"/>
          <w:sz w:val="32"/>
          <w:szCs w:val="32"/>
          <w:lang w:val="en-US" w:eastAsia="zh-CN"/>
        </w:rPr>
        <w:t>二十二</w:t>
      </w:r>
      <w:r>
        <w:rPr>
          <w:rFonts w:hint="eastAsia" w:ascii="黑体" w:hAnsi="黑体" w:eastAsia="黑体" w:cs="黑体"/>
          <w:sz w:val="32"/>
          <w:szCs w:val="32"/>
        </w:rPr>
        <w:t xml:space="preserve">条 </w:t>
      </w:r>
      <w:r>
        <w:rPr>
          <w:rFonts w:hint="eastAsia" w:ascii="仿宋_GB2312" w:hAnsi="仿宋_GB2312" w:eastAsia="仿宋_GB2312" w:cs="仿宋_GB2312"/>
          <w:sz w:val="32"/>
          <w:szCs w:val="32"/>
        </w:rPr>
        <w:t>本规划中所称“中小学校”是指普通中小学校、特殊教育学校、中等职业学校、专门学校等。“幼儿园”是指经教育行政主管部门依法批准的公办和民办全日制、寄宿制、半日制幼儿园及小学附设的学前班、幼儿班等。各类培训教育机构、托管班、早教班等除外。</w:t>
      </w:r>
    </w:p>
    <w:p w14:paraId="75C0897B">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二十三</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本规划中“以上”“不低于”“不超过”“以内”等，如无特殊说明均包括本数。</w:t>
      </w:r>
    </w:p>
    <w:p w14:paraId="62951986">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二十四</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本规划中按照年、月、日计算期间的，开始的当日不计入，自下一日开始计算。均以工作日计算，不含法定节假日。</w:t>
      </w:r>
    </w:p>
    <w:p w14:paraId="22961EC9">
      <w:pPr>
        <w:keepNext w:val="0"/>
        <w:keepLines w:val="0"/>
        <w:pageBreakBefore w:val="0"/>
        <w:kinsoku/>
        <w:wordWrap/>
        <w:overflowPunct/>
        <w:topLinePunct w:val="0"/>
        <w:autoSpaceDE/>
        <w:autoSpaceDN/>
        <w:bidi w:val="0"/>
        <w:snapToGrid w:val="0"/>
        <w:spacing w:line="336" w:lineRule="auto"/>
        <w:ind w:firstLine="680" w:firstLineChars="200"/>
        <w:jc w:val="left"/>
        <w:rPr>
          <w:rFonts w:eastAsia="仿宋_GB2312"/>
          <w:spacing w:val="10"/>
          <w:sz w:val="32"/>
          <w:szCs w:val="32"/>
        </w:rPr>
      </w:pPr>
      <w:r>
        <w:rPr>
          <w:rFonts w:hint="eastAsia" w:ascii="黑体" w:hAnsi="黑体" w:eastAsia="黑体" w:cs="黑体"/>
          <w:spacing w:val="10"/>
          <w:sz w:val="32"/>
          <w:szCs w:val="32"/>
        </w:rPr>
        <w:t>第</w:t>
      </w:r>
      <w:r>
        <w:rPr>
          <w:rFonts w:hint="eastAsia" w:ascii="黑体" w:hAnsi="黑体" w:eastAsia="黑体" w:cs="黑体"/>
          <w:spacing w:val="10"/>
          <w:sz w:val="32"/>
          <w:szCs w:val="32"/>
          <w:lang w:val="en-US" w:eastAsia="zh-CN"/>
        </w:rPr>
        <w:t>二十五</w:t>
      </w:r>
      <w:r>
        <w:rPr>
          <w:rFonts w:hint="eastAsia" w:ascii="黑体" w:hAnsi="黑体" w:eastAsia="黑体" w:cs="黑体"/>
          <w:spacing w:val="10"/>
          <w:sz w:val="32"/>
          <w:szCs w:val="32"/>
        </w:rPr>
        <w:t xml:space="preserve">条 </w:t>
      </w:r>
      <w:r>
        <w:rPr>
          <w:rFonts w:eastAsia="仿宋_GB2312"/>
          <w:spacing w:val="10"/>
          <w:sz w:val="32"/>
          <w:szCs w:val="32"/>
        </w:rPr>
        <w:t>本规划由云南省</w:t>
      </w:r>
      <w:r>
        <w:rPr>
          <w:rFonts w:hint="eastAsia" w:eastAsia="仿宋_GB2312"/>
          <w:spacing w:val="10"/>
          <w:sz w:val="32"/>
          <w:szCs w:val="32"/>
        </w:rPr>
        <w:t>峨山彝族自治县</w:t>
      </w:r>
      <w:r>
        <w:rPr>
          <w:rFonts w:eastAsia="仿宋_GB2312"/>
          <w:spacing w:val="10"/>
          <w:sz w:val="32"/>
          <w:szCs w:val="32"/>
        </w:rPr>
        <w:t>烟草专卖局负责解释。</w:t>
      </w:r>
    </w:p>
    <w:p w14:paraId="7F871FB3">
      <w:pPr>
        <w:keepNext w:val="0"/>
        <w:keepLines w:val="0"/>
        <w:pageBreakBefore w:val="0"/>
        <w:kinsoku/>
        <w:wordWrap/>
        <w:overflowPunct/>
        <w:topLinePunct w:val="0"/>
        <w:autoSpaceDE/>
        <w:autoSpaceDN/>
        <w:bidi w:val="0"/>
        <w:snapToGrid w:val="0"/>
        <w:spacing w:line="336" w:lineRule="auto"/>
        <w:ind w:firstLine="680" w:firstLineChars="200"/>
        <w:jc w:val="left"/>
        <w:textAlignment w:val="baseline"/>
        <w:rPr>
          <w:rFonts w:eastAsia="仿宋_GB2312"/>
          <w:sz w:val="32"/>
          <w:szCs w:val="32"/>
        </w:rPr>
      </w:pPr>
      <w:r>
        <w:rPr>
          <w:rFonts w:hint="eastAsia" w:ascii="黑体" w:hAnsi="黑体" w:eastAsia="黑体" w:cs="黑体"/>
          <w:spacing w:val="10"/>
          <w:sz w:val="32"/>
          <w:szCs w:val="32"/>
        </w:rPr>
        <w:t>第二十</w:t>
      </w:r>
      <w:r>
        <w:rPr>
          <w:rFonts w:hint="eastAsia" w:ascii="黑体" w:hAnsi="黑体" w:eastAsia="黑体" w:cs="黑体"/>
          <w:spacing w:val="10"/>
          <w:sz w:val="32"/>
          <w:szCs w:val="32"/>
          <w:lang w:val="en-US" w:eastAsia="zh-CN"/>
        </w:rPr>
        <w:t>六</w:t>
      </w:r>
      <w:r>
        <w:rPr>
          <w:rFonts w:hint="eastAsia" w:ascii="黑体" w:hAnsi="黑体" w:eastAsia="黑体" w:cs="黑体"/>
          <w:spacing w:val="10"/>
          <w:sz w:val="32"/>
          <w:szCs w:val="32"/>
        </w:rPr>
        <w:t xml:space="preserve">条 </w:t>
      </w:r>
      <w:r>
        <w:rPr>
          <w:rFonts w:hint="eastAsia" w:ascii="仿宋_GB2312" w:hAnsi="仿宋_GB2312" w:eastAsia="仿宋_GB2312" w:cs="仿宋_GB2312"/>
          <w:spacing w:val="10"/>
          <w:sz w:val="32"/>
          <w:szCs w:val="32"/>
        </w:rPr>
        <w:t>本规划于公布之日起三十日后施行。</w:t>
      </w:r>
      <w:r>
        <w:rPr>
          <w:rFonts w:hint="eastAsia" w:ascii="仿宋_GB2312" w:hAnsi="仿宋_GB2312" w:eastAsia="仿宋_GB2312" w:cs="仿宋_GB2312"/>
          <w:spacing w:val="10"/>
          <w:sz w:val="32"/>
          <w:szCs w:val="32"/>
          <w:lang w:eastAsia="zh-CN"/>
        </w:rPr>
        <w:t>现行的</w:t>
      </w:r>
      <w:r>
        <w:rPr>
          <w:rFonts w:hint="eastAsia" w:ascii="仿宋_GB2312" w:hAnsi="仿宋_GB2312" w:eastAsia="仿宋_GB2312" w:cs="仿宋_GB2312"/>
          <w:spacing w:val="10"/>
          <w:sz w:val="32"/>
          <w:szCs w:val="32"/>
        </w:rPr>
        <w:t>《云南省峨山县彝族自治县烟草制品零售点合理布局</w:t>
      </w:r>
      <w:r>
        <w:rPr>
          <w:rFonts w:hint="eastAsia" w:ascii="仿宋_GB2312" w:hAnsi="仿宋_GB2312" w:eastAsia="仿宋_GB2312" w:cs="仿宋_GB2312"/>
          <w:spacing w:val="10"/>
          <w:sz w:val="32"/>
          <w:szCs w:val="32"/>
          <w:lang w:val="en-US" w:eastAsia="zh-CN"/>
        </w:rPr>
        <w:t>规划</w:t>
      </w:r>
      <w:r>
        <w:rPr>
          <w:rFonts w:hint="eastAsia" w:ascii="仿宋_GB2312" w:hAnsi="仿宋_GB2312" w:eastAsia="仿宋_GB2312" w:cs="仿宋_GB2312"/>
          <w:spacing w:val="10"/>
          <w:sz w:val="32"/>
          <w:szCs w:val="32"/>
        </w:rPr>
        <w:t>》（峨烟专〔202</w:t>
      </w:r>
      <w:r>
        <w:rPr>
          <w:rFonts w:hint="eastAsia" w:ascii="仿宋_GB2312" w:hAnsi="仿宋_GB2312" w:eastAsia="仿宋_GB2312" w:cs="仿宋_GB2312"/>
          <w:spacing w:val="10"/>
          <w:sz w:val="32"/>
          <w:szCs w:val="32"/>
          <w:lang w:val="en-US" w:eastAsia="zh-CN"/>
        </w:rPr>
        <w:t>4</w:t>
      </w:r>
      <w:r>
        <w:rPr>
          <w:rFonts w:hint="eastAsia"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lang w:val="en-US" w:eastAsia="zh-CN"/>
        </w:rPr>
        <w:t>11</w:t>
      </w:r>
      <w:r>
        <w:rPr>
          <w:rFonts w:hint="eastAsia" w:ascii="仿宋_GB2312" w:hAnsi="仿宋_GB2312" w:eastAsia="仿宋_GB2312" w:cs="仿宋_GB2312"/>
          <w:spacing w:val="10"/>
          <w:sz w:val="32"/>
          <w:szCs w:val="32"/>
        </w:rPr>
        <w:t>号）同时废止。</w:t>
      </w:r>
    </w:p>
    <w:p w14:paraId="6D113B3A">
      <w:pPr>
        <w:keepNext w:val="0"/>
        <w:keepLines w:val="0"/>
        <w:pageBreakBefore w:val="0"/>
        <w:numPr>
          <w:ilvl w:val="255"/>
          <w:numId w:val="0"/>
        </w:numPr>
        <w:kinsoku/>
        <w:wordWrap/>
        <w:overflowPunct/>
        <w:topLinePunct w:val="0"/>
        <w:autoSpaceDE/>
        <w:autoSpaceDN/>
        <w:bidi w:val="0"/>
        <w:snapToGrid w:val="0"/>
        <w:spacing w:line="336" w:lineRule="auto"/>
        <w:ind w:left="420" w:leftChars="200"/>
        <w:jc w:val="left"/>
        <w:textAlignment w:val="baseline"/>
        <w:rPr>
          <w:rFonts w:eastAsia="仿宋_GB2312"/>
          <w:spacing w:val="10"/>
          <w:sz w:val="32"/>
          <w:szCs w:val="32"/>
        </w:rPr>
      </w:pPr>
    </w:p>
    <w:p w14:paraId="2351F2C4">
      <w:pPr>
        <w:keepNext w:val="0"/>
        <w:keepLines w:val="0"/>
        <w:pageBreakBefore w:val="0"/>
        <w:numPr>
          <w:ilvl w:val="255"/>
          <w:numId w:val="0"/>
        </w:numPr>
        <w:kinsoku/>
        <w:wordWrap/>
        <w:overflowPunct/>
        <w:topLinePunct w:val="0"/>
        <w:autoSpaceDE/>
        <w:autoSpaceDN/>
        <w:bidi w:val="0"/>
        <w:snapToGrid w:val="0"/>
        <w:spacing w:line="336" w:lineRule="auto"/>
        <w:ind w:left="420" w:leftChars="200"/>
        <w:jc w:val="left"/>
        <w:textAlignment w:val="baseline"/>
        <w:rPr>
          <w:rFonts w:eastAsia="仿宋_GB2312"/>
          <w:spacing w:val="10"/>
          <w:sz w:val="32"/>
          <w:szCs w:val="32"/>
        </w:rPr>
      </w:pPr>
    </w:p>
    <w:p w14:paraId="7D9AF9FD">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14:paraId="0F1F118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1.云南省峨山彝族自治县烟草制品零售点间距测量规则及标准</w:t>
      </w:r>
    </w:p>
    <w:p w14:paraId="309E95D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r>
        <w:rPr>
          <w:rFonts w:hint="eastAsia" w:ascii="仿宋_GB2312" w:hAnsi="仿宋_GB2312" w:eastAsia="仿宋_GB2312" w:cs="仿宋_GB2312"/>
          <w:sz w:val="32"/>
          <w:szCs w:val="32"/>
        </w:rPr>
        <w:t>2.</w:t>
      </w:r>
      <w:r>
        <w:rPr>
          <w:rFonts w:eastAsia="仿宋_GB2312"/>
          <w:sz w:val="32"/>
          <w:szCs w:val="32"/>
        </w:rPr>
        <w:t>云南省</w:t>
      </w:r>
      <w:r>
        <w:rPr>
          <w:rFonts w:hint="eastAsia" w:eastAsia="仿宋_GB2312"/>
          <w:sz w:val="32"/>
          <w:szCs w:val="32"/>
        </w:rPr>
        <w:t>峨山彝族自治县</w:t>
      </w:r>
      <w:r>
        <w:rPr>
          <w:rFonts w:eastAsia="仿宋_GB2312"/>
          <w:sz w:val="32"/>
          <w:szCs w:val="32"/>
        </w:rPr>
        <w:t>烟草专卖局烟草制品零售点合理布局公示表</w:t>
      </w:r>
    </w:p>
    <w:p w14:paraId="0A72DE7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3.云南省峨山彝族自治县烟草制品零售点合理布局规划网格示意图</w:t>
      </w:r>
    </w:p>
    <w:p w14:paraId="35A07684">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云南省峨山彝族自治县</w:t>
      </w:r>
      <w:r>
        <w:rPr>
          <w:rFonts w:hint="eastAsia" w:ascii="仿宋_GB2312" w:hAnsi="仿宋_GB2312" w:eastAsia="仿宋_GB2312" w:cs="仿宋_GB2312"/>
          <w:color w:val="auto"/>
          <w:sz w:val="32"/>
          <w:szCs w:val="32"/>
          <w:lang w:val="en-US" w:eastAsia="zh-CN"/>
        </w:rPr>
        <w:t>雪茄烟专营零售点合理布局公示表</w:t>
      </w:r>
    </w:p>
    <w:p w14:paraId="12DBFD8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.云南省峨山彝族自治县烟草制品零售点合理布局规划数动态调整管理制度</w:t>
      </w:r>
    </w:p>
    <w:p w14:paraId="305332B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.云南省峨山彝族自治县烟草制品零售点排队轮候制度</w:t>
      </w:r>
    </w:p>
    <w:p w14:paraId="5B6B5D1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6B943AE9">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151F1E0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394926D5">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02CD56AF">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1A92252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35A383EA">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1191C43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13996C3A">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77358E1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57C1780D">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5B5E81FF">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430E33E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6A8E3D57">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30582B16">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383774E1">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4D2E872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4B09DF44">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hint="eastAsia" w:ascii="仿宋_GB2312" w:hAnsi="仿宋_GB2312" w:eastAsia="仿宋_GB2312" w:cs="仿宋_GB2312"/>
          <w:sz w:val="32"/>
          <w:szCs w:val="32"/>
        </w:rPr>
      </w:pPr>
    </w:p>
    <w:p w14:paraId="32BDE033">
      <w:pPr>
        <w:widowControl/>
        <w:spacing w:before="86" w:line="360" w:lineRule="auto"/>
        <w:jc w:val="left"/>
        <w:rPr>
          <w:rFonts w:hint="eastAsia" w:ascii="黑体" w:hAnsi="黑体" w:eastAsia="黑体" w:cs="黑体"/>
          <w:spacing w:val="10"/>
          <w:sz w:val="32"/>
          <w:szCs w:val="32"/>
        </w:rPr>
      </w:pPr>
    </w:p>
    <w:p w14:paraId="55C125E6">
      <w:pPr>
        <w:widowControl/>
        <w:spacing w:before="86" w:line="360" w:lineRule="auto"/>
        <w:jc w:val="left"/>
        <w:rPr>
          <w:rFonts w:hint="eastAsia" w:ascii="黑体" w:hAnsi="黑体" w:eastAsia="黑体" w:cs="黑体"/>
          <w:spacing w:val="10"/>
          <w:sz w:val="32"/>
          <w:szCs w:val="32"/>
        </w:rPr>
      </w:pPr>
    </w:p>
    <w:p w14:paraId="465279B4">
      <w:pPr>
        <w:widowControl/>
        <w:spacing w:before="86" w:line="360" w:lineRule="auto"/>
        <w:jc w:val="left"/>
        <w:rPr>
          <w:rFonts w:hint="eastAsia" w:ascii="黑体" w:hAnsi="黑体" w:eastAsia="黑体" w:cs="黑体"/>
          <w:spacing w:val="10"/>
          <w:sz w:val="32"/>
          <w:szCs w:val="32"/>
        </w:rPr>
      </w:pPr>
    </w:p>
    <w:p w14:paraId="559D3C61">
      <w:pPr>
        <w:widowControl/>
        <w:spacing w:before="86" w:line="360" w:lineRule="auto"/>
        <w:jc w:val="left"/>
        <w:rPr>
          <w:rFonts w:hint="eastAsia" w:ascii="黑体" w:hAnsi="黑体" w:eastAsia="黑体" w:cs="黑体"/>
          <w:spacing w:val="10"/>
          <w:sz w:val="32"/>
          <w:szCs w:val="32"/>
        </w:rPr>
        <w:sectPr>
          <w:footerReference r:id="rId3" w:type="default"/>
          <w:type w:val="continuous"/>
          <w:pgSz w:w="11906" w:h="16838"/>
          <w:pgMar w:top="1440" w:right="1800" w:bottom="1440" w:left="1800" w:header="851" w:footer="992" w:gutter="0"/>
          <w:pgNumType w:fmt="numberInDash"/>
          <w:cols w:space="425" w:num="1"/>
          <w:docGrid w:type="lines" w:linePitch="312" w:charSpace="0"/>
        </w:sectPr>
      </w:pPr>
    </w:p>
    <w:p w14:paraId="34ED84F7">
      <w:pPr>
        <w:widowControl/>
        <w:spacing w:before="86" w:line="360" w:lineRule="auto"/>
        <w:jc w:val="left"/>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rPr>
        <w:t>附件</w:t>
      </w:r>
      <w:r>
        <w:rPr>
          <w:rFonts w:hint="eastAsia" w:ascii="黑体" w:hAnsi="黑体" w:eastAsia="黑体" w:cs="黑体"/>
          <w:spacing w:val="10"/>
          <w:sz w:val="32"/>
          <w:szCs w:val="32"/>
          <w:lang w:val="en-US" w:eastAsia="zh-CN"/>
        </w:rPr>
        <w:t>1</w:t>
      </w:r>
    </w:p>
    <w:p w14:paraId="16201C4D">
      <w:pPr>
        <w:keepNext w:val="0"/>
        <w:keepLines w:val="0"/>
        <w:pageBreakBefore w:val="0"/>
        <w:widowControl w:val="0"/>
        <w:kinsoku/>
        <w:wordWrap/>
        <w:overflowPunct/>
        <w:topLinePunct w:val="0"/>
        <w:autoSpaceDE/>
        <w:autoSpaceDN/>
        <w:bidi w:val="0"/>
        <w:adjustRightInd/>
        <w:snapToGrid w:val="0"/>
        <w:spacing w:line="317" w:lineRule="auto"/>
        <w:jc w:val="center"/>
        <w:textAlignment w:val="auto"/>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1F338F11">
      <w:pPr>
        <w:keepNext w:val="0"/>
        <w:keepLines w:val="0"/>
        <w:pageBreakBefore w:val="0"/>
        <w:widowControl w:val="0"/>
        <w:kinsoku/>
        <w:wordWrap/>
        <w:overflowPunct/>
        <w:topLinePunct w:val="0"/>
        <w:autoSpaceDE/>
        <w:autoSpaceDN/>
        <w:bidi w:val="0"/>
        <w:adjustRightInd/>
        <w:snapToGrid w:val="0"/>
        <w:spacing w:line="317" w:lineRule="auto"/>
        <w:jc w:val="center"/>
        <w:textAlignment w:val="auto"/>
        <w:rPr>
          <w:rFonts w:ascii="方正小标宋简体" w:eastAsia="方正小标宋简体"/>
          <w:sz w:val="44"/>
          <w:szCs w:val="44"/>
        </w:rPr>
      </w:pPr>
      <w:r>
        <w:rPr>
          <w:rFonts w:hint="eastAsia" w:ascii="方正小标宋简体" w:eastAsia="方正小标宋简体"/>
          <w:sz w:val="44"/>
          <w:szCs w:val="44"/>
        </w:rPr>
        <w:t>间距测量规则及标准</w:t>
      </w:r>
    </w:p>
    <w:p w14:paraId="79F34A62">
      <w:pPr>
        <w:rPr>
          <w:rFonts w:hint="eastAsia" w:ascii="仿宋_GB2312" w:hAnsi="仿宋_GB2312" w:eastAsia="仿宋_GB2312" w:cs="仿宋_GB2312"/>
          <w:sz w:val="32"/>
          <w:szCs w:val="32"/>
        </w:rPr>
      </w:pPr>
    </w:p>
    <w:p w14:paraId="57718DE7">
      <w:pPr>
        <w:widowControl/>
        <w:tabs>
          <w:tab w:val="left" w:pos="2723"/>
        </w:tabs>
        <w:adjustRightInd w:val="0"/>
        <w:snapToGrid w:val="0"/>
        <w:spacing w:before="86"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根据云南省峨山彝族自治县辖区实际情况，现明确《云南省峨山彝族自治县烟草制品零售点合理布局规划》第</w:t>
      </w:r>
      <w:r>
        <w:rPr>
          <w:rFonts w:hint="eastAsia" w:ascii="仿宋_GB2312" w:hAnsi="仿宋_GB2312" w:eastAsia="仿宋_GB2312" w:cs="仿宋_GB2312"/>
          <w:spacing w:val="10"/>
          <w:sz w:val="32"/>
          <w:szCs w:val="32"/>
          <w:highlight w:val="none"/>
          <w:lang w:val="en-US" w:eastAsia="zh-CN"/>
        </w:rPr>
        <w:t>八</w:t>
      </w:r>
      <w:r>
        <w:rPr>
          <w:rFonts w:hint="eastAsia" w:ascii="仿宋_GB2312" w:hAnsi="仿宋_GB2312" w:eastAsia="仿宋_GB2312" w:cs="仿宋_GB2312"/>
          <w:spacing w:val="10"/>
          <w:sz w:val="32"/>
          <w:szCs w:val="32"/>
        </w:rPr>
        <w:t>条中有关的“零售点间距”测量规则及标准如下：</w:t>
      </w:r>
    </w:p>
    <w:p w14:paraId="1ACCA2A2">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68520173">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（一）现场核查零售点间距的测量以“可安全步行最短距离”为总体原则，其他未穷尽列举的情形均参照本原则测量。</w:t>
      </w:r>
    </w:p>
    <w:p w14:paraId="2AD34F9E">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（二）应当使用符合国家距离测量标准的测量工具。</w:t>
      </w:r>
    </w:p>
    <w:p w14:paraId="472C3F0A">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（三）“零售点间距”是指申请点与参照零售点（周边已设最近的零售点）之间按“门边到门边”原则进行测量。测量数据精确到小数点后一位，如“30.0米”或“100.0米”。</w:t>
      </w:r>
    </w:p>
    <w:p w14:paraId="1A8CEE89">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2CAFE624">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14:paraId="3295EF83">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（六）政府有关部门在街道或道路中设置的行人隔离带（栏）、绿化带等视为障碍物，测量时应当按道路交通规则绕行。</w:t>
      </w:r>
    </w:p>
    <w:p w14:paraId="5AB7392D">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774C221F">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9E6E8F1">
      <w:pPr>
        <w:pStyle w:val="4"/>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1A3F90A5">
      <w:pPr>
        <w:pStyle w:val="4"/>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7"/>
                    <a:stretch>
                      <a:fillRect/>
                    </a:stretch>
                  </pic:blipFill>
                  <pic:spPr>
                    <a:xfrm>
                      <a:off x="0" y="0"/>
                      <a:ext cx="3970020" cy="1748155"/>
                    </a:xfrm>
                    <a:prstGeom prst="rect">
                      <a:avLst/>
                    </a:prstGeom>
                  </pic:spPr>
                </pic:pic>
              </a:graphicData>
            </a:graphic>
          </wp:inline>
        </w:drawing>
      </w:r>
    </w:p>
    <w:p w14:paraId="1D7ACD8B">
      <w:pPr>
        <w:pStyle w:val="4"/>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6BE47225">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6955B2EF">
      <w:pPr>
        <w:pStyle w:val="4"/>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8"/>
                    <a:stretch>
                      <a:fillRect/>
                    </a:stretch>
                  </pic:blipFill>
                  <pic:spPr>
                    <a:xfrm>
                      <a:off x="0" y="0"/>
                      <a:ext cx="5240217" cy="1887838"/>
                    </a:xfrm>
                    <a:prstGeom prst="rect">
                      <a:avLst/>
                    </a:prstGeom>
                  </pic:spPr>
                </pic:pic>
              </a:graphicData>
            </a:graphic>
          </wp:inline>
        </w:drawing>
      </w:r>
    </w:p>
    <w:p w14:paraId="24F09DD5">
      <w:pPr>
        <w:pStyle w:val="4"/>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D9BE5E0">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14:paraId="2CE38C8E">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670883A3">
      <w:pPr>
        <w:pStyle w:val="4"/>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9"/>
                    <a:stretch>
                      <a:fillRect/>
                    </a:stretch>
                  </pic:blipFill>
                  <pic:spPr>
                    <a:xfrm>
                      <a:off x="0" y="0"/>
                      <a:ext cx="4934585" cy="2446020"/>
                    </a:xfrm>
                    <a:prstGeom prst="rect">
                      <a:avLst/>
                    </a:prstGeom>
                  </pic:spPr>
                </pic:pic>
              </a:graphicData>
            </a:graphic>
          </wp:inline>
        </w:drawing>
      </w:r>
    </w:p>
    <w:p w14:paraId="6C68BE11">
      <w:pPr>
        <w:pStyle w:val="4"/>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2606DD76">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A70FC09">
      <w:pPr>
        <w:pStyle w:val="4"/>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0"/>
                    <a:stretch>
                      <a:fillRect/>
                    </a:stretch>
                  </pic:blipFill>
                  <pic:spPr>
                    <a:xfrm>
                      <a:off x="0" y="0"/>
                      <a:ext cx="5015865" cy="2638425"/>
                    </a:xfrm>
                    <a:prstGeom prst="rect">
                      <a:avLst/>
                    </a:prstGeom>
                  </pic:spPr>
                </pic:pic>
              </a:graphicData>
            </a:graphic>
          </wp:inline>
        </w:drawing>
      </w:r>
    </w:p>
    <w:p w14:paraId="39C0A3D3">
      <w:pPr>
        <w:pStyle w:val="4"/>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C96DF31">
      <w:pPr>
        <w:pStyle w:val="4"/>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14:paraId="42BBE03F">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1"/>
                    <a:stretch>
                      <a:fillRect/>
                    </a:stretch>
                  </pic:blipFill>
                  <pic:spPr>
                    <a:xfrm>
                      <a:off x="0" y="0"/>
                      <a:ext cx="5194300" cy="2531745"/>
                    </a:xfrm>
                    <a:prstGeom prst="rect">
                      <a:avLst/>
                    </a:prstGeom>
                  </pic:spPr>
                </pic:pic>
              </a:graphicData>
            </a:graphic>
          </wp:inline>
        </w:drawing>
      </w:r>
    </w:p>
    <w:p w14:paraId="56736AEF">
      <w:pPr>
        <w:pStyle w:val="4"/>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6D518949">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4635BE31">
      <w:pPr>
        <w:pStyle w:val="4"/>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1841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7680808A">
      <w:pPr>
        <w:pStyle w:val="4"/>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74ACC461">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4532C671">
      <w:pPr>
        <w:pStyle w:val="4"/>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3"/>
                    <a:srcRect t="17596"/>
                    <a:stretch>
                      <a:fillRect/>
                    </a:stretch>
                  </pic:blipFill>
                  <pic:spPr>
                    <a:xfrm>
                      <a:off x="0" y="0"/>
                      <a:ext cx="4768850" cy="2709545"/>
                    </a:xfrm>
                    <a:prstGeom prst="rect">
                      <a:avLst/>
                    </a:prstGeom>
                  </pic:spPr>
                </pic:pic>
              </a:graphicData>
            </a:graphic>
          </wp:inline>
        </w:drawing>
      </w:r>
    </w:p>
    <w:p w14:paraId="578085C7">
      <w:pPr>
        <w:pStyle w:val="4"/>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2AB31DBA">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3D6ED62E">
      <w:pPr>
        <w:pStyle w:val="4"/>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78092EA0">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4"/>
                    <a:stretch>
                      <a:fillRect/>
                    </a:stretch>
                  </pic:blipFill>
                  <pic:spPr>
                    <a:xfrm>
                      <a:off x="0" y="0"/>
                      <a:ext cx="3064510" cy="2741930"/>
                    </a:xfrm>
                    <a:prstGeom prst="rect">
                      <a:avLst/>
                    </a:prstGeom>
                  </pic:spPr>
                </pic:pic>
              </a:graphicData>
            </a:graphic>
          </wp:inline>
        </w:drawing>
      </w:r>
    </w:p>
    <w:p w14:paraId="1EE2C5FF">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47DB2661">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949DEE0">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B41E4D2">
      <w:pPr>
        <w:pStyle w:val="4"/>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5"/>
                    <a:stretch>
                      <a:fillRect/>
                    </a:stretch>
                  </pic:blipFill>
                  <pic:spPr>
                    <a:xfrm>
                      <a:off x="0" y="0"/>
                      <a:ext cx="2782892" cy="2481288"/>
                    </a:xfrm>
                    <a:prstGeom prst="rect">
                      <a:avLst/>
                    </a:prstGeom>
                  </pic:spPr>
                </pic:pic>
              </a:graphicData>
            </a:graphic>
          </wp:inline>
        </w:drawing>
      </w:r>
    </w:p>
    <w:p w14:paraId="0F73655C">
      <w:pPr>
        <w:pStyle w:val="4"/>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00DB9FB">
      <w:pPr>
        <w:pStyle w:val="4"/>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77ED4808">
      <w:pPr>
        <w:pStyle w:val="4"/>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5486A84D">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6"/>
                    <a:stretch>
                      <a:fillRect/>
                    </a:stretch>
                  </pic:blipFill>
                  <pic:spPr>
                    <a:xfrm>
                      <a:off x="0" y="0"/>
                      <a:ext cx="2703830" cy="2475865"/>
                    </a:xfrm>
                    <a:prstGeom prst="rect">
                      <a:avLst/>
                    </a:prstGeom>
                  </pic:spPr>
                </pic:pic>
              </a:graphicData>
            </a:graphic>
          </wp:inline>
        </w:drawing>
      </w:r>
    </w:p>
    <w:p w14:paraId="40EC7D90">
      <w:pPr>
        <w:pStyle w:val="4"/>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65D3D5AB">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595E4CE3">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758CBE7">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7"/>
                    <a:stretch>
                      <a:fillRect/>
                    </a:stretch>
                  </pic:blipFill>
                  <pic:spPr>
                    <a:xfrm>
                      <a:off x="0" y="0"/>
                      <a:ext cx="2844973" cy="2145560"/>
                    </a:xfrm>
                    <a:prstGeom prst="rect">
                      <a:avLst/>
                    </a:prstGeom>
                  </pic:spPr>
                </pic:pic>
              </a:graphicData>
            </a:graphic>
          </wp:inline>
        </w:drawing>
      </w:r>
    </w:p>
    <w:p w14:paraId="521F80E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541BBD30">
      <w:pPr>
        <w:pStyle w:val="4"/>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05558AC">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01329D93">
      <w:pPr>
        <w:pStyle w:val="4"/>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8">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2F002E0">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148C8C74">
      <w:pPr>
        <w:pStyle w:val="4"/>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12F72436">
      <w:pPr>
        <w:pStyle w:val="4"/>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9"/>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08A9A1E1">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1A8A4C81">
      <w:pPr>
        <w:pStyle w:val="4"/>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12692CD1">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0"/>
                    <a:stretch>
                      <a:fillRect/>
                    </a:stretch>
                  </pic:blipFill>
                  <pic:spPr>
                    <a:xfrm>
                      <a:off x="0" y="0"/>
                      <a:ext cx="3851275" cy="2245360"/>
                    </a:xfrm>
                    <a:prstGeom prst="rect">
                      <a:avLst/>
                    </a:prstGeom>
                  </pic:spPr>
                </pic:pic>
              </a:graphicData>
            </a:graphic>
          </wp:inline>
        </w:drawing>
      </w:r>
    </w:p>
    <w:p w14:paraId="0AA966C4">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00D047B9">
      <w:pPr>
        <w:pStyle w:val="4"/>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5D5584B">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1"/>
                    <a:stretch>
                      <a:fillRect/>
                    </a:stretch>
                  </pic:blipFill>
                  <pic:spPr>
                    <a:xfrm>
                      <a:off x="0" y="0"/>
                      <a:ext cx="5163185" cy="2213610"/>
                    </a:xfrm>
                    <a:prstGeom prst="rect">
                      <a:avLst/>
                    </a:prstGeom>
                  </pic:spPr>
                </pic:pic>
              </a:graphicData>
            </a:graphic>
          </wp:inline>
        </w:drawing>
      </w:r>
    </w:p>
    <w:p w14:paraId="744BACE7">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12BB250A">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7437EB40">
      <w:pPr>
        <w:pStyle w:val="4"/>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0A0216F4">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04FC862C">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01E48DD5">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1524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2"/>
                    <a:stretch>
                      <a:fillRect/>
                    </a:stretch>
                  </pic:blipFill>
                  <pic:spPr>
                    <a:xfrm rot="10800000" flipH="1" flipV="1">
                      <a:off x="0" y="0"/>
                      <a:ext cx="4333875" cy="2213610"/>
                    </a:xfrm>
                    <a:prstGeom prst="rect">
                      <a:avLst/>
                    </a:prstGeom>
                  </pic:spPr>
                </pic:pic>
              </a:graphicData>
            </a:graphic>
          </wp:inline>
        </w:drawing>
      </w:r>
    </w:p>
    <w:p w14:paraId="1956594F">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2992688A">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11556173">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1941DE01">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1013A629">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10B3E8B1">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834A5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4"/>
                    <a:stretch>
                      <a:fillRect/>
                    </a:stretch>
                  </pic:blipFill>
                  <pic:spPr>
                    <a:xfrm>
                      <a:off x="0" y="0"/>
                      <a:ext cx="3131185" cy="2522855"/>
                    </a:xfrm>
                    <a:prstGeom prst="rect">
                      <a:avLst/>
                    </a:prstGeom>
                  </pic:spPr>
                </pic:pic>
              </a:graphicData>
            </a:graphic>
          </wp:inline>
        </w:drawing>
      </w:r>
    </w:p>
    <w:p w14:paraId="10A0E16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4AAA0409">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77560D43">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5"/>
                    <a:stretch>
                      <a:fillRect/>
                    </a:stretch>
                  </pic:blipFill>
                  <pic:spPr>
                    <a:xfrm>
                      <a:off x="0" y="0"/>
                      <a:ext cx="3330575" cy="2741930"/>
                    </a:xfrm>
                    <a:prstGeom prst="rect">
                      <a:avLst/>
                    </a:prstGeom>
                  </pic:spPr>
                </pic:pic>
              </a:graphicData>
            </a:graphic>
          </wp:inline>
        </w:drawing>
      </w:r>
    </w:p>
    <w:p w14:paraId="44AF527A">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6AA1B216">
      <w:pPr>
        <w:pStyle w:val="4"/>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5F466548">
      <w:pPr>
        <w:pStyle w:val="4"/>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14:paraId="1D9A1AEF">
      <w:pPr>
        <w:rPr>
          <w:rFonts w:ascii="仿宋_GB2312" w:hAnsi="仿宋_GB2312" w:eastAsia="仿宋_GB2312" w:cs="仿宋_GB2312"/>
          <w:spacing w:val="10"/>
          <w:sz w:val="32"/>
          <w:szCs w:val="32"/>
        </w:rPr>
      </w:pPr>
    </w:p>
    <w:p w14:paraId="319D2828">
      <w:pPr>
        <w:rPr>
          <w:rFonts w:ascii="仿宋_GB2312" w:hAnsi="仿宋_GB2312" w:eastAsia="仿宋_GB2312" w:cs="仿宋_GB2312"/>
          <w:spacing w:val="10"/>
          <w:sz w:val="32"/>
          <w:szCs w:val="32"/>
        </w:rPr>
      </w:pPr>
    </w:p>
    <w:p w14:paraId="3C92E3DA">
      <w:pPr>
        <w:rPr>
          <w:rFonts w:ascii="仿宋_GB2312" w:hAnsi="仿宋_GB2312" w:eastAsia="仿宋_GB2312" w:cs="仿宋_GB2312"/>
          <w:spacing w:val="10"/>
          <w:sz w:val="32"/>
          <w:szCs w:val="32"/>
        </w:rPr>
      </w:pPr>
    </w:p>
    <w:p w14:paraId="14B6D332">
      <w:pPr>
        <w:rPr>
          <w:rFonts w:ascii="仿宋_GB2312" w:hAnsi="仿宋_GB2312" w:eastAsia="仿宋_GB2312" w:cs="仿宋_GB2312"/>
          <w:spacing w:val="10"/>
          <w:sz w:val="32"/>
          <w:szCs w:val="32"/>
        </w:rPr>
      </w:pPr>
    </w:p>
    <w:p w14:paraId="72D00068">
      <w:pPr>
        <w:rPr>
          <w:rFonts w:ascii="仿宋_GB2312" w:hAnsi="仿宋_GB2312" w:eastAsia="仿宋_GB2312" w:cs="仿宋_GB2312"/>
          <w:spacing w:val="10"/>
          <w:sz w:val="32"/>
          <w:szCs w:val="32"/>
        </w:rPr>
      </w:pPr>
    </w:p>
    <w:p w14:paraId="2BA9FA73">
      <w:pPr>
        <w:rPr>
          <w:rFonts w:ascii="仿宋_GB2312" w:hAnsi="仿宋_GB2312" w:eastAsia="仿宋_GB2312" w:cs="仿宋_GB2312"/>
          <w:spacing w:val="10"/>
          <w:sz w:val="32"/>
          <w:szCs w:val="32"/>
        </w:rPr>
      </w:pPr>
    </w:p>
    <w:p w14:paraId="053F2434">
      <w:pPr>
        <w:rPr>
          <w:rFonts w:ascii="仿宋_GB2312" w:hAnsi="仿宋_GB2312" w:eastAsia="仿宋_GB2312" w:cs="仿宋_GB2312"/>
          <w:spacing w:val="10"/>
          <w:sz w:val="32"/>
          <w:szCs w:val="32"/>
        </w:rPr>
      </w:pPr>
    </w:p>
    <w:p w14:paraId="50F23135">
      <w:pPr>
        <w:rPr>
          <w:rFonts w:ascii="仿宋_GB2312" w:hAnsi="仿宋_GB2312" w:eastAsia="仿宋_GB2312" w:cs="仿宋_GB2312"/>
          <w:spacing w:val="10"/>
          <w:sz w:val="32"/>
          <w:szCs w:val="32"/>
        </w:rPr>
        <w:sectPr>
          <w:type w:val="continuous"/>
          <w:pgSz w:w="11906" w:h="16838"/>
          <w:pgMar w:top="1440" w:right="1800" w:bottom="1440" w:left="1800" w:header="851" w:footer="992" w:gutter="0"/>
          <w:pgNumType w:fmt="numberInDash"/>
          <w:cols w:space="425" w:num="1"/>
          <w:docGrid w:type="lines" w:linePitch="312" w:charSpace="0"/>
        </w:sectPr>
      </w:pPr>
    </w:p>
    <w:tbl>
      <w:tblPr>
        <w:tblStyle w:val="11"/>
        <w:tblW w:w="146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5"/>
        <w:gridCol w:w="945"/>
        <w:gridCol w:w="1893"/>
        <w:gridCol w:w="975"/>
        <w:gridCol w:w="950"/>
        <w:gridCol w:w="850"/>
        <w:gridCol w:w="1200"/>
        <w:gridCol w:w="4600"/>
        <w:gridCol w:w="1750"/>
        <w:gridCol w:w="532"/>
      </w:tblGrid>
      <w:tr w14:paraId="17C0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14640" w:type="dxa"/>
            <w:gridSpan w:val="10"/>
            <w:tcBorders>
              <w:top w:val="nil"/>
              <w:left w:val="nil"/>
              <w:bottom w:val="nil"/>
              <w:right w:val="nil"/>
            </w:tcBorders>
            <w:shd w:val="clear" w:color="auto" w:fill="auto"/>
            <w:noWrap/>
            <w:vAlign w:val="top"/>
          </w:tcPr>
          <w:p w14:paraId="7B0C5192">
            <w:pPr>
              <w:widowControl/>
              <w:spacing w:before="86" w:line="360" w:lineRule="auto"/>
              <w:jc w:val="left"/>
              <w:rPr>
                <w:rFonts w:hint="eastAsia" w:ascii="黑体" w:hAnsi="黑体" w:eastAsia="黑体" w:cs="黑体"/>
                <w:spacing w:val="10"/>
                <w:sz w:val="32"/>
                <w:szCs w:val="32"/>
                <w:lang w:val="en-US" w:eastAsia="zh-CN"/>
              </w:rPr>
            </w:pPr>
            <w:r>
              <w:rPr>
                <w:rFonts w:hint="eastAsia" w:ascii="黑体" w:hAnsi="黑体" w:eastAsia="黑体" w:cs="黑体"/>
                <w:spacing w:val="10"/>
                <w:sz w:val="32"/>
                <w:szCs w:val="32"/>
              </w:rPr>
              <w:t>附件</w:t>
            </w:r>
            <w:r>
              <w:rPr>
                <w:rFonts w:hint="eastAsia" w:ascii="黑体" w:hAnsi="黑体" w:eastAsia="黑体" w:cs="黑体"/>
                <w:spacing w:val="10"/>
                <w:sz w:val="32"/>
                <w:szCs w:val="32"/>
                <w:lang w:val="en-US" w:eastAsia="zh-CN"/>
              </w:rPr>
              <w:t>2</w:t>
            </w:r>
          </w:p>
          <w:p w14:paraId="291BFF38">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485E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trPr>
        <w:tc>
          <w:tcPr>
            <w:tcW w:w="14640" w:type="dxa"/>
            <w:gridSpan w:val="10"/>
            <w:tcBorders>
              <w:top w:val="nil"/>
              <w:left w:val="nil"/>
              <w:bottom w:val="nil"/>
              <w:right w:val="nil"/>
            </w:tcBorders>
            <w:shd w:val="clear" w:color="auto" w:fill="auto"/>
            <w:noWrap/>
            <w:vAlign w:val="center"/>
          </w:tcPr>
          <w:p w14:paraId="5A16232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6B73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2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640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76C2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2316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F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FC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4B44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AD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0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4E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F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E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84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D6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7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8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0053C">
            <w:pPr>
              <w:jc w:val="center"/>
              <w:rPr>
                <w:rFonts w:hint="eastAsia" w:ascii="宋体" w:hAnsi="宋体" w:eastAsia="宋体" w:cs="宋体"/>
                <w:i w:val="0"/>
                <w:iCs w:val="0"/>
                <w:color w:val="000000"/>
                <w:sz w:val="24"/>
                <w:szCs w:val="24"/>
                <w:u w:val="none"/>
              </w:rPr>
            </w:pPr>
          </w:p>
        </w:tc>
      </w:tr>
      <w:tr w14:paraId="4CB1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4"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EDD17">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8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单元网格1</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41E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双江街道辖区五岔路至高平宝山村段中线以东、嶍峨路中线以北区域</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D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222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5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C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8E77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A9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3AC4">
            <w:pPr>
              <w:jc w:val="center"/>
              <w:rPr>
                <w:rFonts w:hint="eastAsia" w:ascii="宋体" w:hAnsi="宋体" w:eastAsia="宋体" w:cs="宋体"/>
                <w:i w:val="0"/>
                <w:iCs w:val="0"/>
                <w:color w:val="000000"/>
                <w:sz w:val="24"/>
                <w:szCs w:val="24"/>
                <w:u w:val="none"/>
              </w:rPr>
            </w:pPr>
          </w:p>
        </w:tc>
      </w:tr>
      <w:tr w14:paraId="7A24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3" w:hRule="atLeast"/>
        </w:trPr>
        <w:tc>
          <w:tcPr>
            <w:tcW w:w="14640" w:type="dxa"/>
            <w:gridSpan w:val="10"/>
            <w:tcBorders>
              <w:top w:val="nil"/>
              <w:left w:val="nil"/>
              <w:bottom w:val="nil"/>
              <w:right w:val="nil"/>
            </w:tcBorders>
            <w:shd w:val="clear" w:color="auto" w:fill="auto"/>
            <w:vAlign w:val="center"/>
          </w:tcPr>
          <w:p w14:paraId="61262D8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2F9F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14640" w:type="dxa"/>
            <w:gridSpan w:val="10"/>
            <w:tcBorders>
              <w:top w:val="nil"/>
              <w:left w:val="nil"/>
              <w:bottom w:val="nil"/>
              <w:right w:val="nil"/>
            </w:tcBorders>
            <w:shd w:val="clear" w:color="auto" w:fill="auto"/>
            <w:vAlign w:val="center"/>
          </w:tcPr>
          <w:p w14:paraId="33761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第一页</w:t>
            </w:r>
          </w:p>
        </w:tc>
      </w:tr>
      <w:tr w14:paraId="74B7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486E3BA0">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F49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600C3D9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6CBF0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F66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BF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61F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B6C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F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B82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7CEED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BE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E3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6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1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B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5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C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81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1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BC54A">
            <w:pPr>
              <w:jc w:val="center"/>
              <w:rPr>
                <w:rFonts w:hint="eastAsia" w:ascii="宋体" w:hAnsi="宋体" w:eastAsia="宋体" w:cs="宋体"/>
                <w:i w:val="0"/>
                <w:iCs w:val="0"/>
                <w:color w:val="000000"/>
                <w:sz w:val="24"/>
                <w:szCs w:val="24"/>
                <w:u w:val="none"/>
              </w:rPr>
            </w:pPr>
          </w:p>
        </w:tc>
      </w:tr>
      <w:tr w14:paraId="4C522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C1384">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3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单元网格2</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E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双江街道辖区五岔路至高平宝山村段中线以西、嶍峨路中线以南区域</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17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17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217</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7F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2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270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9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AE6C">
            <w:pPr>
              <w:jc w:val="center"/>
              <w:rPr>
                <w:rFonts w:hint="eastAsia" w:ascii="宋体" w:hAnsi="宋体" w:eastAsia="宋体" w:cs="宋体"/>
                <w:i w:val="0"/>
                <w:iCs w:val="0"/>
                <w:color w:val="000000"/>
                <w:sz w:val="24"/>
                <w:szCs w:val="24"/>
                <w:u w:val="none"/>
              </w:rPr>
            </w:pPr>
          </w:p>
        </w:tc>
      </w:tr>
      <w:tr w14:paraId="5120C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8" w:hRule="atLeast"/>
        </w:trPr>
        <w:tc>
          <w:tcPr>
            <w:tcW w:w="14640" w:type="dxa"/>
            <w:gridSpan w:val="10"/>
            <w:tcBorders>
              <w:top w:val="nil"/>
              <w:left w:val="nil"/>
              <w:bottom w:val="nil"/>
              <w:right w:val="nil"/>
            </w:tcBorders>
            <w:shd w:val="clear" w:color="auto" w:fill="auto"/>
            <w:vAlign w:val="center"/>
          </w:tcPr>
          <w:p w14:paraId="787D873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703E0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0F122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第二页</w:t>
            </w:r>
          </w:p>
        </w:tc>
      </w:tr>
      <w:tr w14:paraId="634C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545BE229">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1B0E4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3BE2A9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66815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EC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A11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FFD4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99B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3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814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48C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57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F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6F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2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9B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B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A6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1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9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3964E">
            <w:pPr>
              <w:jc w:val="center"/>
              <w:rPr>
                <w:rFonts w:hint="eastAsia" w:ascii="宋体" w:hAnsi="宋体" w:eastAsia="宋体" w:cs="宋体"/>
                <w:i w:val="0"/>
                <w:iCs w:val="0"/>
                <w:color w:val="000000"/>
                <w:sz w:val="24"/>
                <w:szCs w:val="24"/>
                <w:u w:val="none"/>
              </w:rPr>
            </w:pPr>
          </w:p>
        </w:tc>
      </w:tr>
      <w:tr w14:paraId="63EDF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7E113">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B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单元网格3</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3D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小街街道辖区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14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A1DF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AE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E6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F8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8B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89FF">
            <w:pPr>
              <w:jc w:val="center"/>
              <w:rPr>
                <w:rFonts w:hint="eastAsia" w:ascii="宋体" w:hAnsi="宋体" w:eastAsia="宋体" w:cs="宋体"/>
                <w:i w:val="0"/>
                <w:iCs w:val="0"/>
                <w:color w:val="000000"/>
                <w:sz w:val="24"/>
                <w:szCs w:val="24"/>
                <w:u w:val="none"/>
              </w:rPr>
            </w:pPr>
          </w:p>
        </w:tc>
      </w:tr>
      <w:tr w14:paraId="22634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14640" w:type="dxa"/>
            <w:gridSpan w:val="10"/>
            <w:tcBorders>
              <w:top w:val="nil"/>
              <w:left w:val="nil"/>
              <w:bottom w:val="nil"/>
              <w:right w:val="nil"/>
            </w:tcBorders>
            <w:shd w:val="clear" w:color="auto" w:fill="auto"/>
            <w:vAlign w:val="center"/>
          </w:tcPr>
          <w:p w14:paraId="1A5F85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6C45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21DE4C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第三页</w:t>
            </w:r>
          </w:p>
        </w:tc>
      </w:tr>
      <w:tr w14:paraId="4CDD3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0A0A0AB7">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79609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417387F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4E2B0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4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DF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2CB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349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0CE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D5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10BA2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97B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A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4E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11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646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4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F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F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C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83FA3">
            <w:pPr>
              <w:jc w:val="center"/>
              <w:rPr>
                <w:rFonts w:hint="eastAsia" w:ascii="宋体" w:hAnsi="宋体" w:eastAsia="宋体" w:cs="宋体"/>
                <w:i w:val="0"/>
                <w:iCs w:val="0"/>
                <w:color w:val="000000"/>
                <w:sz w:val="24"/>
                <w:szCs w:val="24"/>
                <w:u w:val="none"/>
              </w:rPr>
            </w:pPr>
          </w:p>
        </w:tc>
      </w:tr>
      <w:tr w14:paraId="2F90D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90FBE">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34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单元网格4</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8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岔河乡辖区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B1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05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E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B4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A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E3FA">
            <w:pPr>
              <w:jc w:val="center"/>
              <w:rPr>
                <w:rFonts w:hint="eastAsia" w:ascii="宋体" w:hAnsi="宋体" w:eastAsia="宋体" w:cs="宋体"/>
                <w:i w:val="0"/>
                <w:iCs w:val="0"/>
                <w:color w:val="000000"/>
                <w:sz w:val="24"/>
                <w:szCs w:val="24"/>
                <w:u w:val="none"/>
              </w:rPr>
            </w:pPr>
          </w:p>
        </w:tc>
      </w:tr>
      <w:tr w14:paraId="5315F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1" w:hRule="atLeast"/>
        </w:trPr>
        <w:tc>
          <w:tcPr>
            <w:tcW w:w="14640" w:type="dxa"/>
            <w:gridSpan w:val="10"/>
            <w:tcBorders>
              <w:top w:val="nil"/>
              <w:left w:val="nil"/>
              <w:bottom w:val="nil"/>
              <w:right w:val="nil"/>
            </w:tcBorders>
            <w:shd w:val="clear" w:color="auto" w:fill="auto"/>
            <w:vAlign w:val="center"/>
          </w:tcPr>
          <w:p w14:paraId="15BE625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3615A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7D9BA7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第四页</w:t>
            </w:r>
          </w:p>
        </w:tc>
      </w:tr>
      <w:tr w14:paraId="169C6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3B283FF5">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50C0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2D81449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64C44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9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965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E03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9FE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F9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112E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6AFA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389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17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5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364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D86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0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DE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B1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1F6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E3FE8">
            <w:pPr>
              <w:jc w:val="center"/>
              <w:rPr>
                <w:rFonts w:hint="eastAsia" w:ascii="宋体" w:hAnsi="宋体" w:eastAsia="宋体" w:cs="宋体"/>
                <w:i w:val="0"/>
                <w:iCs w:val="0"/>
                <w:color w:val="000000"/>
                <w:sz w:val="24"/>
                <w:szCs w:val="24"/>
                <w:u w:val="none"/>
              </w:rPr>
            </w:pPr>
          </w:p>
        </w:tc>
      </w:tr>
      <w:tr w14:paraId="36EFE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03606">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C5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单元网格5</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F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甸中镇辖区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15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18C8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2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88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56A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5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B587">
            <w:pPr>
              <w:jc w:val="center"/>
              <w:rPr>
                <w:rFonts w:hint="eastAsia" w:ascii="宋体" w:hAnsi="宋体" w:eastAsia="宋体" w:cs="宋体"/>
                <w:i w:val="0"/>
                <w:iCs w:val="0"/>
                <w:color w:val="000000"/>
                <w:sz w:val="24"/>
                <w:szCs w:val="24"/>
                <w:u w:val="none"/>
              </w:rPr>
            </w:pPr>
          </w:p>
        </w:tc>
      </w:tr>
      <w:tr w14:paraId="749DE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3" w:hRule="atLeast"/>
        </w:trPr>
        <w:tc>
          <w:tcPr>
            <w:tcW w:w="14640" w:type="dxa"/>
            <w:gridSpan w:val="10"/>
            <w:tcBorders>
              <w:top w:val="nil"/>
              <w:left w:val="nil"/>
              <w:bottom w:val="nil"/>
              <w:right w:val="nil"/>
            </w:tcBorders>
            <w:shd w:val="clear" w:color="auto" w:fill="auto"/>
            <w:vAlign w:val="center"/>
          </w:tcPr>
          <w:p w14:paraId="309839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1D6BB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1ED32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第五页</w:t>
            </w:r>
          </w:p>
        </w:tc>
      </w:tr>
      <w:tr w14:paraId="7718E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68E7ECD2">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6CA01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5DE5F77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2856D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7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A7B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403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242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8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4432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E984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5B5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B3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1B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8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51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CD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E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3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AB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C17A">
            <w:pPr>
              <w:jc w:val="center"/>
              <w:rPr>
                <w:rFonts w:hint="eastAsia" w:ascii="宋体" w:hAnsi="宋体" w:eastAsia="宋体" w:cs="宋体"/>
                <w:i w:val="0"/>
                <w:iCs w:val="0"/>
                <w:color w:val="000000"/>
                <w:sz w:val="24"/>
                <w:szCs w:val="24"/>
                <w:u w:val="none"/>
              </w:rPr>
            </w:pPr>
          </w:p>
        </w:tc>
      </w:tr>
      <w:tr w14:paraId="60C8A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AA30B">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F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单元网格6</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0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大龙潭乡辖区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F8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22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C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98C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3A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E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F28D">
            <w:pPr>
              <w:jc w:val="center"/>
              <w:rPr>
                <w:rFonts w:hint="eastAsia" w:ascii="宋体" w:hAnsi="宋体" w:eastAsia="宋体" w:cs="宋体"/>
                <w:i w:val="0"/>
                <w:iCs w:val="0"/>
                <w:color w:val="000000"/>
                <w:sz w:val="24"/>
                <w:szCs w:val="24"/>
                <w:u w:val="none"/>
              </w:rPr>
            </w:pPr>
          </w:p>
        </w:tc>
      </w:tr>
      <w:tr w14:paraId="66CC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3" w:hRule="atLeast"/>
        </w:trPr>
        <w:tc>
          <w:tcPr>
            <w:tcW w:w="14640" w:type="dxa"/>
            <w:gridSpan w:val="10"/>
            <w:tcBorders>
              <w:top w:val="nil"/>
              <w:left w:val="nil"/>
              <w:bottom w:val="nil"/>
              <w:right w:val="nil"/>
            </w:tcBorders>
            <w:shd w:val="clear" w:color="auto" w:fill="auto"/>
            <w:vAlign w:val="center"/>
          </w:tcPr>
          <w:p w14:paraId="2C4E367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0A346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387E4C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第六页</w:t>
            </w:r>
          </w:p>
        </w:tc>
      </w:tr>
      <w:tr w14:paraId="7DB16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6A302ABF">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22CC1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49B82C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3F87F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4D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48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016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BF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F2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E2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9BF9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1A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F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9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A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2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9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2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1B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0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5E0E2">
            <w:pPr>
              <w:jc w:val="center"/>
              <w:rPr>
                <w:rFonts w:hint="eastAsia" w:ascii="宋体" w:hAnsi="宋体" w:eastAsia="宋体" w:cs="宋体"/>
                <w:i w:val="0"/>
                <w:iCs w:val="0"/>
                <w:color w:val="000000"/>
                <w:sz w:val="24"/>
                <w:szCs w:val="24"/>
                <w:u w:val="none"/>
              </w:rPr>
            </w:pPr>
          </w:p>
        </w:tc>
      </w:tr>
      <w:tr w14:paraId="6CB64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8D06B">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3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单元网格7</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24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富良棚乡辖区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6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0AB7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8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1C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97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D9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F73D">
            <w:pPr>
              <w:jc w:val="center"/>
              <w:rPr>
                <w:rFonts w:hint="eastAsia" w:ascii="宋体" w:hAnsi="宋体" w:eastAsia="宋体" w:cs="宋体"/>
                <w:i w:val="0"/>
                <w:iCs w:val="0"/>
                <w:color w:val="000000"/>
                <w:sz w:val="24"/>
                <w:szCs w:val="24"/>
                <w:u w:val="none"/>
              </w:rPr>
            </w:pPr>
          </w:p>
        </w:tc>
      </w:tr>
      <w:tr w14:paraId="3EB9B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0" w:hRule="atLeast"/>
        </w:trPr>
        <w:tc>
          <w:tcPr>
            <w:tcW w:w="14640" w:type="dxa"/>
            <w:gridSpan w:val="10"/>
            <w:tcBorders>
              <w:top w:val="nil"/>
              <w:left w:val="nil"/>
              <w:bottom w:val="nil"/>
              <w:right w:val="nil"/>
            </w:tcBorders>
            <w:shd w:val="clear" w:color="auto" w:fill="auto"/>
            <w:vAlign w:val="center"/>
          </w:tcPr>
          <w:p w14:paraId="4EAD9E8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4DDEA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58BF0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第七页</w:t>
            </w:r>
          </w:p>
        </w:tc>
      </w:tr>
      <w:tr w14:paraId="6DB8C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4605B25A">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6CD60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70B4D68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47E71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35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6BE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411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512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3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21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AE79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51E4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7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2A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6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8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41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7A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B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98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1288C">
            <w:pPr>
              <w:jc w:val="center"/>
              <w:rPr>
                <w:rFonts w:hint="eastAsia" w:ascii="宋体" w:hAnsi="宋体" w:eastAsia="宋体" w:cs="宋体"/>
                <w:i w:val="0"/>
                <w:iCs w:val="0"/>
                <w:color w:val="000000"/>
                <w:sz w:val="24"/>
                <w:szCs w:val="24"/>
                <w:u w:val="none"/>
              </w:rPr>
            </w:pPr>
          </w:p>
        </w:tc>
      </w:tr>
      <w:tr w14:paraId="34F8D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0"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A29D0">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6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单元网格8</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8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塔甸镇辖区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D4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9037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2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2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93E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9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5EE2">
            <w:pPr>
              <w:jc w:val="center"/>
              <w:rPr>
                <w:rFonts w:hint="eastAsia" w:ascii="宋体" w:hAnsi="宋体" w:eastAsia="宋体" w:cs="宋体"/>
                <w:i w:val="0"/>
                <w:iCs w:val="0"/>
                <w:color w:val="000000"/>
                <w:sz w:val="24"/>
                <w:szCs w:val="24"/>
                <w:u w:val="none"/>
              </w:rPr>
            </w:pPr>
          </w:p>
        </w:tc>
      </w:tr>
      <w:tr w14:paraId="71DD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0" w:hRule="atLeast"/>
        </w:trPr>
        <w:tc>
          <w:tcPr>
            <w:tcW w:w="14640" w:type="dxa"/>
            <w:gridSpan w:val="10"/>
            <w:tcBorders>
              <w:top w:val="nil"/>
              <w:left w:val="nil"/>
              <w:bottom w:val="nil"/>
              <w:right w:val="nil"/>
            </w:tcBorders>
            <w:shd w:val="clear" w:color="auto" w:fill="auto"/>
            <w:vAlign w:val="center"/>
          </w:tcPr>
          <w:p w14:paraId="12968C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2.每年根据经济发展、城乡建设、市场形势等变化情况对本表中的数据进行动态调整，规划数相应进行动态更新，以公示的数据为准。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51A50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278A1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第八页</w:t>
            </w:r>
          </w:p>
        </w:tc>
      </w:tr>
      <w:tr w14:paraId="3AFA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4640" w:type="dxa"/>
            <w:gridSpan w:val="10"/>
            <w:tcBorders>
              <w:top w:val="nil"/>
              <w:left w:val="nil"/>
              <w:bottom w:val="nil"/>
              <w:right w:val="nil"/>
            </w:tcBorders>
            <w:shd w:val="clear" w:color="auto" w:fill="auto"/>
            <w:noWrap/>
            <w:vAlign w:val="top"/>
          </w:tcPr>
          <w:p w14:paraId="55C08883">
            <w:pPr>
              <w:keepNext w:val="0"/>
              <w:keepLines w:val="0"/>
              <w:widowControl/>
              <w:suppressLineNumbers w:val="0"/>
              <w:jc w:val="center"/>
              <w:textAlignment w:val="top"/>
              <w:rPr>
                <w:rFonts w:hint="default"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云南省峨山彝族自治县烟草专卖局烟草制品零售点合理布局公示表</w:t>
            </w:r>
          </w:p>
        </w:tc>
      </w:tr>
      <w:tr w14:paraId="306AF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4640" w:type="dxa"/>
            <w:gridSpan w:val="10"/>
            <w:tcBorders>
              <w:top w:val="nil"/>
              <w:left w:val="nil"/>
              <w:bottom w:val="nil"/>
              <w:right w:val="nil"/>
            </w:tcBorders>
            <w:shd w:val="clear" w:color="auto" w:fill="auto"/>
            <w:noWrap/>
            <w:vAlign w:val="center"/>
          </w:tcPr>
          <w:p w14:paraId="11D8C10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w:t>
            </w:r>
            <w:r>
              <w:rPr>
                <w:rFonts w:hint="eastAsia" w:ascii="宋体" w:hAnsi="宋体" w:cs="宋体"/>
                <w:i w:val="0"/>
                <w:iCs w:val="0"/>
                <w:color w:val="000000"/>
                <w:kern w:val="0"/>
                <w:sz w:val="24"/>
                <w:szCs w:val="24"/>
                <w:u w:val="none"/>
                <w:lang w:val="en-US" w:eastAsia="zh-CN" w:bidi="ar"/>
              </w:rPr>
              <w:t>**年*月*日-**年*月*日</w:t>
            </w:r>
          </w:p>
        </w:tc>
      </w:tr>
      <w:tr w14:paraId="6E9F5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D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28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09B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单元网格划分情况</w:t>
            </w:r>
          </w:p>
        </w:tc>
        <w:tc>
          <w:tcPr>
            <w:tcW w:w="277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47E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单元网格数量情况</w:t>
            </w:r>
          </w:p>
        </w:tc>
        <w:tc>
          <w:tcPr>
            <w:tcW w:w="58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02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单元网格距离情况</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52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总量情况</w:t>
            </w:r>
          </w:p>
        </w:tc>
        <w:tc>
          <w:tcPr>
            <w:tcW w:w="5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7B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6BE01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CC27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9BC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C0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区域描述</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A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规划数（个）</w:t>
            </w:r>
          </w:p>
        </w:tc>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B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B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2C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零售点间距（米）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C3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其他条件描述</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C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云南省峨山彝族自治县总量规划数（个）</w:t>
            </w:r>
          </w:p>
        </w:tc>
        <w:tc>
          <w:tcPr>
            <w:tcW w:w="5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8C53">
            <w:pPr>
              <w:jc w:val="center"/>
              <w:rPr>
                <w:rFonts w:hint="eastAsia" w:ascii="宋体" w:hAnsi="宋体" w:eastAsia="宋体" w:cs="宋体"/>
                <w:i w:val="0"/>
                <w:iCs w:val="0"/>
                <w:color w:val="000000"/>
                <w:sz w:val="24"/>
                <w:szCs w:val="24"/>
                <w:u w:val="none"/>
              </w:rPr>
            </w:pPr>
          </w:p>
        </w:tc>
      </w:tr>
      <w:tr w14:paraId="3125A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7" w:hRule="atLeast"/>
        </w:trPr>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B1735">
            <w:pPr>
              <w:jc w:val="center"/>
              <w:rPr>
                <w:rFonts w:hint="eastAsia" w:ascii="宋体" w:hAnsi="宋体" w:eastAsia="宋体" w:cs="宋体"/>
                <w:i w:val="0"/>
                <w:iCs w:val="0"/>
                <w:color w:val="000000"/>
                <w:sz w:val="24"/>
                <w:szCs w:val="24"/>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2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单元网格9</w:t>
            </w:r>
          </w:p>
        </w:tc>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DF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化念镇辖区</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0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A5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18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C92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3AC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人口较为集中、相对独立的综合性商（农）贸市场或区域，根据该区域内固定商铺数量，每100户设置1个零售点，且零售点间距不低于50米，设置零售点总数最多不超过10户。若该区域内固定商铺数量不足100户，且无零售点的，可设置1个零售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2.自然村内，500人以下100人以上的，可设置1个零售点，不足100人的不予设置；满1000人可设置2个零售点，满1500人可设置3个零售点，满2000人可设置4个零售点，以此类推，零售点间距不低于100米。</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F6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B8FBA">
            <w:pPr>
              <w:jc w:val="center"/>
              <w:rPr>
                <w:rFonts w:hint="eastAsia" w:ascii="宋体" w:hAnsi="宋体" w:eastAsia="宋体" w:cs="宋体"/>
                <w:i w:val="0"/>
                <w:iCs w:val="0"/>
                <w:color w:val="000000"/>
                <w:sz w:val="24"/>
                <w:szCs w:val="24"/>
                <w:u w:val="none"/>
              </w:rPr>
            </w:pPr>
          </w:p>
        </w:tc>
      </w:tr>
      <w:tr w14:paraId="5E870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7" w:hRule="atLeast"/>
        </w:trPr>
        <w:tc>
          <w:tcPr>
            <w:tcW w:w="14640" w:type="dxa"/>
            <w:gridSpan w:val="10"/>
            <w:tcBorders>
              <w:top w:val="nil"/>
              <w:left w:val="nil"/>
              <w:bottom w:val="nil"/>
              <w:right w:val="nil"/>
            </w:tcBorders>
            <w:shd w:val="clear" w:color="auto" w:fill="auto"/>
            <w:vAlign w:val="center"/>
          </w:tcPr>
          <w:p w14:paraId="5A1D190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备注：1.本公示表的数据根据本县（市、区）零售点布局规划实行定期评价、动态管理。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2.每季度根据经济发展、城乡建设、市场形势等变化情况对本表中的数据进行动态调整，规划数相应进行动态更新，以公示的数据为准。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r w14:paraId="61E4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4640" w:type="dxa"/>
            <w:gridSpan w:val="10"/>
            <w:tcBorders>
              <w:top w:val="nil"/>
              <w:left w:val="nil"/>
              <w:bottom w:val="nil"/>
              <w:right w:val="nil"/>
            </w:tcBorders>
            <w:shd w:val="clear" w:color="auto" w:fill="auto"/>
            <w:vAlign w:val="center"/>
          </w:tcPr>
          <w:p w14:paraId="4E0F4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第九页</w:t>
            </w:r>
          </w:p>
        </w:tc>
      </w:tr>
    </w:tbl>
    <w:p w14:paraId="2395DF7D">
      <w:pPr>
        <w:rPr>
          <w:rFonts w:ascii="仿宋_GB2312" w:hAnsi="仿宋_GB2312" w:eastAsia="仿宋_GB2312" w:cs="仿宋_GB2312"/>
          <w:spacing w:val="10"/>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3E97E61A">
      <w:pPr>
        <w:ind w:firstLine="672"/>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3</w:t>
      </w:r>
    </w:p>
    <w:p w14:paraId="67DB4223">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w:t>
      </w:r>
    </w:p>
    <w:p w14:paraId="72696BC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合理布局网格示意图</w:t>
      </w:r>
    </w:p>
    <w:p w14:paraId="6F86E693">
      <w:pPr>
        <w:ind w:right="-31" w:rightChars="-15" w:firstLine="0" w:firstLineChars="0"/>
        <w:jc w:val="center"/>
        <w:rPr>
          <w:rFonts w:ascii="仿宋_GB2312" w:hAnsi="仿宋_GB2312" w:cs="仿宋_GB2312"/>
          <w:sz w:val="32"/>
          <w:szCs w:val="32"/>
        </w:rPr>
      </w:pPr>
      <w:r>
        <w:rPr>
          <w:rFonts w:ascii="仿宋_GB2312" w:hAnsi="仿宋_GB2312" w:cs="仿宋_GB2312"/>
          <w:sz w:val="32"/>
          <w:szCs w:val="32"/>
        </w:rPr>
        <w:drawing>
          <wp:inline distT="0" distB="0" distL="0" distR="0">
            <wp:extent cx="4483735" cy="3344545"/>
            <wp:effectExtent l="0" t="0" r="12065" b="8255"/>
            <wp:docPr id="6" name="图片 6" descr="D:\weixinfile\WeChat Files\wxid_mz6nx9vewc0621\FileStorage\Temp\ecba4b95e85bb1af6105ad3c44ec8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weixinfile\WeChat Files\wxid_mz6nx9vewc0621\FileStorage\Temp\ecba4b95e85bb1af6105ad3c44ec8b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90961" cy="3344545"/>
                    </a:xfrm>
                    <a:prstGeom prst="rect">
                      <a:avLst/>
                    </a:prstGeom>
                    <a:noFill/>
                    <a:ln>
                      <a:noFill/>
                    </a:ln>
                  </pic:spPr>
                </pic:pic>
              </a:graphicData>
            </a:graphic>
          </wp:inline>
        </w:drawing>
      </w:r>
    </w:p>
    <w:p w14:paraId="41F784CB">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全县辖区</w:t>
      </w:r>
    </w:p>
    <w:p w14:paraId="727CF1D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381625" cy="4514850"/>
            <wp:effectExtent l="0" t="0" r="9525" b="0"/>
            <wp:docPr id="7" name="图片 7" descr="单元网格1（双江街道辖区五岔路至高平宝山村段中线以东、嶍峨路中线以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单元网格1（双江街道辖区五岔路至高平宝山村段中线以东、嶍峨路中线以北区域）"/>
                    <pic:cNvPicPr>
                      <a:picLocks noChangeAspect="1"/>
                    </pic:cNvPicPr>
                  </pic:nvPicPr>
                  <pic:blipFill>
                    <a:blip r:embed="rId27"/>
                    <a:stretch>
                      <a:fillRect/>
                    </a:stretch>
                  </pic:blipFill>
                  <pic:spPr>
                    <a:xfrm>
                      <a:off x="0" y="0"/>
                      <a:ext cx="5381625" cy="4514850"/>
                    </a:xfrm>
                    <a:prstGeom prst="rect">
                      <a:avLst/>
                    </a:prstGeom>
                  </pic:spPr>
                </pic:pic>
              </a:graphicData>
            </a:graphic>
          </wp:inline>
        </w:drawing>
      </w:r>
    </w:p>
    <w:p w14:paraId="772F2026">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单元网格1（双江街道辖区五岔路至高平宝山村段中线以东、嶍峨路中线以北区域）</w:t>
      </w:r>
    </w:p>
    <w:p w14:paraId="4B2E08B3">
      <w:pPr>
        <w:ind w:right="-31" w:rightChars="-15" w:firstLine="0" w:firstLineChars="0"/>
        <w:jc w:val="center"/>
        <w:rPr>
          <w:rFonts w:hint="eastAsia" w:ascii="仿宋_GB2312" w:hAnsi="仿宋_GB2312" w:cs="仿宋_GB2312"/>
          <w:sz w:val="24"/>
          <w:szCs w:val="24"/>
          <w:lang w:eastAsia="zh-CN"/>
        </w:rPr>
      </w:pPr>
    </w:p>
    <w:p w14:paraId="06D16407">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258050" cy="4953000"/>
            <wp:effectExtent l="0" t="0" r="0" b="0"/>
            <wp:docPr id="8" name="图片 8" descr="单元网格2（双江街道辖区五岔路至高平宝山村段中线以西、嶍峨路中线以南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单元网格2（双江街道辖区五岔路至高平宝山村段中线以西、嶍峨路中线以南区域）"/>
                    <pic:cNvPicPr>
                      <a:picLocks noChangeAspect="1"/>
                    </pic:cNvPicPr>
                  </pic:nvPicPr>
                  <pic:blipFill>
                    <a:blip r:embed="rId28"/>
                    <a:stretch>
                      <a:fillRect/>
                    </a:stretch>
                  </pic:blipFill>
                  <pic:spPr>
                    <a:xfrm>
                      <a:off x="0" y="0"/>
                      <a:ext cx="7258050" cy="4953000"/>
                    </a:xfrm>
                    <a:prstGeom prst="rect">
                      <a:avLst/>
                    </a:prstGeom>
                  </pic:spPr>
                </pic:pic>
              </a:graphicData>
            </a:graphic>
          </wp:inline>
        </w:drawing>
      </w:r>
    </w:p>
    <w:p w14:paraId="19FE480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单元网格2（双江街道辖区五岔路至高平宝山村段中线以西、嶍峨路中线以南区域）</w:t>
      </w:r>
    </w:p>
    <w:p w14:paraId="65235E65">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955155" cy="4929505"/>
            <wp:effectExtent l="0" t="0" r="17145" b="4445"/>
            <wp:docPr id="4" name="图片 4" descr="单元网格3（小街街道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单元网格3（小街街道辖区）"/>
                    <pic:cNvPicPr>
                      <a:picLocks noChangeAspect="1"/>
                    </pic:cNvPicPr>
                  </pic:nvPicPr>
                  <pic:blipFill>
                    <a:blip r:embed="rId29"/>
                    <a:stretch>
                      <a:fillRect/>
                    </a:stretch>
                  </pic:blipFill>
                  <pic:spPr>
                    <a:xfrm>
                      <a:off x="0" y="0"/>
                      <a:ext cx="6955155" cy="4929505"/>
                    </a:xfrm>
                    <a:prstGeom prst="rect">
                      <a:avLst/>
                    </a:prstGeom>
                  </pic:spPr>
                </pic:pic>
              </a:graphicData>
            </a:graphic>
          </wp:inline>
        </w:drawing>
      </w:r>
    </w:p>
    <w:p w14:paraId="37A78451">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单元网格3（小街街道辖区）</w:t>
      </w:r>
    </w:p>
    <w:p w14:paraId="49482A38">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53125" cy="4467225"/>
            <wp:effectExtent l="0" t="0" r="9525" b="9525"/>
            <wp:docPr id="9" name="图片 9" descr="单元网格4（岔河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单元网格4（岔河乡辖区）"/>
                    <pic:cNvPicPr>
                      <a:picLocks noChangeAspect="1"/>
                    </pic:cNvPicPr>
                  </pic:nvPicPr>
                  <pic:blipFill>
                    <a:blip r:embed="rId30"/>
                    <a:stretch>
                      <a:fillRect/>
                    </a:stretch>
                  </pic:blipFill>
                  <pic:spPr>
                    <a:xfrm>
                      <a:off x="0" y="0"/>
                      <a:ext cx="5953125" cy="4467225"/>
                    </a:xfrm>
                    <a:prstGeom prst="rect">
                      <a:avLst/>
                    </a:prstGeom>
                  </pic:spPr>
                </pic:pic>
              </a:graphicData>
            </a:graphic>
          </wp:inline>
        </w:drawing>
      </w:r>
    </w:p>
    <w:p w14:paraId="2ABEA167">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单元网格4（岔河乡辖区）</w:t>
      </w:r>
    </w:p>
    <w:p w14:paraId="587BB37E">
      <w:pPr>
        <w:ind w:right="-31" w:rightChars="-15" w:firstLine="0" w:firstLineChars="0"/>
        <w:jc w:val="center"/>
        <w:rPr>
          <w:rFonts w:hint="eastAsia" w:ascii="仿宋_GB2312" w:hAnsi="仿宋_GB2312" w:cs="仿宋_GB2312"/>
          <w:sz w:val="24"/>
          <w:szCs w:val="24"/>
          <w:lang w:eastAsia="zh-CN"/>
        </w:rPr>
      </w:pPr>
    </w:p>
    <w:p w14:paraId="39C5DCE5">
      <w:pPr>
        <w:ind w:right="-31" w:rightChars="-15" w:firstLine="0" w:firstLineChars="0"/>
        <w:jc w:val="center"/>
        <w:rPr>
          <w:rFonts w:hint="eastAsia" w:ascii="仿宋_GB2312" w:hAnsi="仿宋_GB2312" w:cs="仿宋_GB2312"/>
          <w:sz w:val="24"/>
          <w:szCs w:val="24"/>
          <w:lang w:eastAsia="zh-CN"/>
        </w:rPr>
      </w:pPr>
    </w:p>
    <w:p w14:paraId="1AA41FC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962650" cy="4756785"/>
            <wp:effectExtent l="0" t="0" r="0" b="5715"/>
            <wp:docPr id="10" name="图片 10" descr="单元网格5（甸中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单元网格5（甸中镇辖区）"/>
                    <pic:cNvPicPr>
                      <a:picLocks noChangeAspect="1"/>
                    </pic:cNvPicPr>
                  </pic:nvPicPr>
                  <pic:blipFill>
                    <a:blip r:embed="rId31"/>
                    <a:stretch>
                      <a:fillRect/>
                    </a:stretch>
                  </pic:blipFill>
                  <pic:spPr>
                    <a:xfrm>
                      <a:off x="0" y="0"/>
                      <a:ext cx="5962650" cy="4756785"/>
                    </a:xfrm>
                    <a:prstGeom prst="rect">
                      <a:avLst/>
                    </a:prstGeom>
                  </pic:spPr>
                </pic:pic>
              </a:graphicData>
            </a:graphic>
          </wp:inline>
        </w:drawing>
      </w:r>
    </w:p>
    <w:p w14:paraId="31833B42">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单元网格5（甸中镇辖区）</w:t>
      </w:r>
    </w:p>
    <w:p w14:paraId="2A03D036">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429250" cy="4686935"/>
            <wp:effectExtent l="0" t="0" r="0" b="18415"/>
            <wp:docPr id="12" name="图片 12" descr="单元网格6（大龙潭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单元网格6（大龙潭乡辖区）"/>
                    <pic:cNvPicPr>
                      <a:picLocks noChangeAspect="1"/>
                    </pic:cNvPicPr>
                  </pic:nvPicPr>
                  <pic:blipFill>
                    <a:blip r:embed="rId32"/>
                    <a:stretch>
                      <a:fillRect/>
                    </a:stretch>
                  </pic:blipFill>
                  <pic:spPr>
                    <a:xfrm>
                      <a:off x="0" y="0"/>
                      <a:ext cx="5429250" cy="4686935"/>
                    </a:xfrm>
                    <a:prstGeom prst="rect">
                      <a:avLst/>
                    </a:prstGeom>
                  </pic:spPr>
                </pic:pic>
              </a:graphicData>
            </a:graphic>
          </wp:inline>
        </w:drawing>
      </w:r>
    </w:p>
    <w:p w14:paraId="275690FA">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单元网格6（大龙潭乡辖区）</w:t>
      </w:r>
    </w:p>
    <w:p w14:paraId="2894E1EB">
      <w:pPr>
        <w:ind w:right="-31" w:rightChars="-15" w:firstLine="0" w:firstLineChars="0"/>
        <w:jc w:val="center"/>
        <w:rPr>
          <w:rFonts w:hint="eastAsia" w:ascii="仿宋_GB2312" w:hAnsi="仿宋_GB2312" w:cs="仿宋_GB2312"/>
          <w:sz w:val="24"/>
          <w:szCs w:val="24"/>
          <w:lang w:eastAsia="zh-CN"/>
        </w:rPr>
      </w:pPr>
    </w:p>
    <w:p w14:paraId="1683509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6896735" cy="4688205"/>
            <wp:effectExtent l="0" t="0" r="18415" b="17145"/>
            <wp:docPr id="14" name="图片 14" descr="单元网格7（富良棚乡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单元网格7（富良棚乡辖区）"/>
                    <pic:cNvPicPr>
                      <a:picLocks noChangeAspect="1"/>
                    </pic:cNvPicPr>
                  </pic:nvPicPr>
                  <pic:blipFill>
                    <a:blip r:embed="rId33"/>
                    <a:stretch>
                      <a:fillRect/>
                    </a:stretch>
                  </pic:blipFill>
                  <pic:spPr>
                    <a:xfrm>
                      <a:off x="0" y="0"/>
                      <a:ext cx="6896735" cy="4688205"/>
                    </a:xfrm>
                    <a:prstGeom prst="rect">
                      <a:avLst/>
                    </a:prstGeom>
                  </pic:spPr>
                </pic:pic>
              </a:graphicData>
            </a:graphic>
          </wp:inline>
        </w:drawing>
      </w:r>
    </w:p>
    <w:p w14:paraId="1342DF40">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单元网格7（富良棚乡辖区）</w:t>
      </w:r>
    </w:p>
    <w:p w14:paraId="56762489">
      <w:pPr>
        <w:ind w:right="-31" w:rightChars="-15" w:firstLine="0" w:firstLineChars="0"/>
        <w:jc w:val="center"/>
        <w:rPr>
          <w:rFonts w:hint="eastAsia" w:ascii="仿宋_GB2312" w:hAnsi="仿宋_GB2312" w:cs="仿宋_GB2312"/>
          <w:sz w:val="24"/>
          <w:szCs w:val="24"/>
          <w:lang w:eastAsia="zh-CN"/>
        </w:rPr>
      </w:pPr>
    </w:p>
    <w:p w14:paraId="09AC44DF">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7896225" cy="4943475"/>
            <wp:effectExtent l="0" t="0" r="9525" b="9525"/>
            <wp:docPr id="16" name="图片 16" descr="单元网格8（塔甸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单元网格8（塔甸镇辖区）"/>
                    <pic:cNvPicPr>
                      <a:picLocks noChangeAspect="1"/>
                    </pic:cNvPicPr>
                  </pic:nvPicPr>
                  <pic:blipFill>
                    <a:blip r:embed="rId34"/>
                    <a:stretch>
                      <a:fillRect/>
                    </a:stretch>
                  </pic:blipFill>
                  <pic:spPr>
                    <a:xfrm>
                      <a:off x="0" y="0"/>
                      <a:ext cx="7896225" cy="4943475"/>
                    </a:xfrm>
                    <a:prstGeom prst="rect">
                      <a:avLst/>
                    </a:prstGeom>
                  </pic:spPr>
                </pic:pic>
              </a:graphicData>
            </a:graphic>
          </wp:inline>
        </w:drawing>
      </w:r>
    </w:p>
    <w:p w14:paraId="4F724E39">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单元网格8（塔甸镇辖区）</w:t>
      </w:r>
    </w:p>
    <w:p w14:paraId="40CFF033">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drawing>
          <wp:inline distT="0" distB="0" distL="114300" distR="114300">
            <wp:extent cx="5173345" cy="4759325"/>
            <wp:effectExtent l="0" t="0" r="8255" b="3175"/>
            <wp:docPr id="17" name="图片 17" descr="单元网格9（化念镇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单元网格9（化念镇辖区）"/>
                    <pic:cNvPicPr>
                      <a:picLocks noChangeAspect="1"/>
                    </pic:cNvPicPr>
                  </pic:nvPicPr>
                  <pic:blipFill>
                    <a:blip r:embed="rId35"/>
                    <a:stretch>
                      <a:fillRect/>
                    </a:stretch>
                  </pic:blipFill>
                  <pic:spPr>
                    <a:xfrm>
                      <a:off x="0" y="0"/>
                      <a:ext cx="5173345" cy="4759325"/>
                    </a:xfrm>
                    <a:prstGeom prst="rect">
                      <a:avLst/>
                    </a:prstGeom>
                  </pic:spPr>
                </pic:pic>
              </a:graphicData>
            </a:graphic>
          </wp:inline>
        </w:drawing>
      </w:r>
    </w:p>
    <w:p w14:paraId="5041CCCD">
      <w:pPr>
        <w:ind w:right="-31" w:rightChars="-15" w:firstLine="0" w:firstLineChars="0"/>
        <w:jc w:val="center"/>
        <w:rPr>
          <w:rFonts w:hint="eastAsia" w:ascii="仿宋_GB2312" w:hAnsi="仿宋_GB2312" w:cs="仿宋_GB2312"/>
          <w:sz w:val="24"/>
          <w:szCs w:val="24"/>
          <w:lang w:eastAsia="zh-CN"/>
        </w:rPr>
      </w:pPr>
      <w:r>
        <w:rPr>
          <w:rFonts w:hint="eastAsia" w:ascii="仿宋_GB2312" w:hAnsi="仿宋_GB2312" w:cs="仿宋_GB2312"/>
          <w:sz w:val="24"/>
          <w:szCs w:val="24"/>
          <w:lang w:eastAsia="zh-CN"/>
        </w:rPr>
        <w:t>单元网格9（化念镇辖区）</w:t>
      </w:r>
    </w:p>
    <w:p w14:paraId="72F6CF72">
      <w:pPr>
        <w:rPr>
          <w:rFonts w:ascii="仿宋_GB2312" w:hAnsi="仿宋_GB2312" w:eastAsia="仿宋_GB2312" w:cs="仿宋_GB2312"/>
          <w:spacing w:val="10"/>
          <w:sz w:val="32"/>
          <w:szCs w:val="32"/>
        </w:rPr>
      </w:pPr>
    </w:p>
    <w:p w14:paraId="79ABE77F">
      <w:pPr>
        <w:rPr>
          <w:rFonts w:ascii="仿宋_GB2312" w:hAnsi="仿宋_GB2312" w:eastAsia="仿宋_GB2312" w:cs="仿宋_GB2312"/>
          <w:spacing w:val="10"/>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266294F9">
      <w:pPr>
        <w:ind w:firstLine="672"/>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4</w:t>
      </w:r>
    </w:p>
    <w:p w14:paraId="369623FE">
      <w:pPr>
        <w:rPr>
          <w:rFonts w:ascii="仿宋_GB2312" w:hAnsi="仿宋_GB2312" w:eastAsia="仿宋_GB2312" w:cs="仿宋_GB2312"/>
          <w:spacing w:val="10"/>
          <w:sz w:val="32"/>
          <w:szCs w:val="32"/>
        </w:rPr>
      </w:pPr>
    </w:p>
    <w:tbl>
      <w:tblPr>
        <w:tblStyle w:val="11"/>
        <w:tblW w:w="130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56"/>
        <w:gridCol w:w="2299"/>
        <w:gridCol w:w="2457"/>
        <w:gridCol w:w="2457"/>
        <w:gridCol w:w="2457"/>
        <w:gridCol w:w="1650"/>
      </w:tblGrid>
      <w:tr w14:paraId="3A5F9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3080" w:type="dxa"/>
            <w:gridSpan w:val="6"/>
            <w:tcBorders>
              <w:top w:val="nil"/>
              <w:left w:val="nil"/>
              <w:bottom w:val="nil"/>
              <w:right w:val="nil"/>
            </w:tcBorders>
            <w:shd w:val="clear" w:color="auto" w:fill="auto"/>
            <w:noWrap/>
            <w:vAlign w:val="top"/>
          </w:tcPr>
          <w:p w14:paraId="20990A78">
            <w:pPr>
              <w:keepNext w:val="0"/>
              <w:keepLines w:val="0"/>
              <w:widowControl/>
              <w:suppressLineNumbers w:val="0"/>
              <w:jc w:val="center"/>
              <w:textAlignment w:val="top"/>
              <w:rPr>
                <w:rFonts w:ascii="国标黑体" w:hAnsi="国标黑体" w:eastAsia="国标黑体" w:cs="国标黑体"/>
                <w:i w:val="0"/>
                <w:iCs w:val="0"/>
                <w:color w:val="000000"/>
                <w:sz w:val="36"/>
                <w:szCs w:val="36"/>
                <w:u w:val="none"/>
              </w:rPr>
            </w:pPr>
            <w:r>
              <w:rPr>
                <w:rFonts w:hint="default" w:ascii="国标黑体" w:hAnsi="国标黑体" w:eastAsia="国标黑体" w:cs="国标黑体"/>
                <w:i w:val="0"/>
                <w:iCs w:val="0"/>
                <w:color w:val="000000"/>
                <w:kern w:val="0"/>
                <w:sz w:val="36"/>
                <w:szCs w:val="36"/>
                <w:u w:val="none"/>
                <w:lang w:val="en-US" w:eastAsia="zh-CN" w:bidi="ar"/>
              </w:rPr>
              <w:t>云南省峨山彝族自治县雪茄烟专营零售点合理布局公示表</w:t>
            </w:r>
          </w:p>
        </w:tc>
      </w:tr>
      <w:tr w14:paraId="5C80F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0" w:type="auto"/>
            <w:gridSpan w:val="6"/>
            <w:tcBorders>
              <w:top w:val="nil"/>
              <w:left w:val="nil"/>
              <w:bottom w:val="nil"/>
              <w:right w:val="nil"/>
            </w:tcBorders>
            <w:shd w:val="clear" w:color="auto" w:fill="auto"/>
            <w:noWrap/>
            <w:vAlign w:val="center"/>
          </w:tcPr>
          <w:p w14:paraId="571CBC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单位：云南省峨山彝族自治县烟草专卖局（盖章）                                 公示时间：2025年*月*日-2025年*月*日</w:t>
            </w:r>
          </w:p>
        </w:tc>
      </w:tr>
      <w:tr w14:paraId="5D563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23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4AC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行政区域</w:t>
            </w:r>
          </w:p>
        </w:tc>
        <w:tc>
          <w:tcPr>
            <w:tcW w:w="21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277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烟草专卖零售许可证规划总量（户）</w:t>
            </w:r>
          </w:p>
        </w:tc>
        <w:tc>
          <w:tcPr>
            <w:tcW w:w="69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90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峨山彝族自治县雪茄烟零售点规划数（个）</w:t>
            </w:r>
          </w:p>
        </w:tc>
        <w:tc>
          <w:tcPr>
            <w:tcW w:w="15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F95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069C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3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2BDB">
            <w:pPr>
              <w:jc w:val="center"/>
              <w:rPr>
                <w:rFonts w:hint="eastAsia" w:ascii="宋体" w:hAnsi="宋体" w:eastAsia="宋体" w:cs="宋体"/>
                <w:i w:val="0"/>
                <w:iCs w:val="0"/>
                <w:color w:val="000000"/>
                <w:sz w:val="24"/>
                <w:szCs w:val="24"/>
                <w:u w:val="none"/>
              </w:rPr>
            </w:pPr>
          </w:p>
        </w:tc>
        <w:tc>
          <w:tcPr>
            <w:tcW w:w="21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D57DA">
            <w:pPr>
              <w:jc w:val="center"/>
              <w:rPr>
                <w:rFonts w:hint="eastAsia" w:ascii="宋体" w:hAnsi="宋体" w:eastAsia="宋体" w:cs="宋体"/>
                <w:i w:val="0"/>
                <w:iCs w:val="0"/>
                <w:color w:val="000000"/>
                <w:sz w:val="24"/>
                <w:szCs w:val="24"/>
                <w:u w:val="none"/>
              </w:rPr>
            </w:pP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9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总量规划数（个）</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5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当前实际数（个）</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A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余量（个）</w:t>
            </w:r>
          </w:p>
        </w:tc>
        <w:tc>
          <w:tcPr>
            <w:tcW w:w="15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F16E3">
            <w:pPr>
              <w:jc w:val="center"/>
              <w:rPr>
                <w:rFonts w:hint="eastAsia" w:ascii="宋体" w:hAnsi="宋体" w:eastAsia="宋体" w:cs="宋体"/>
                <w:i w:val="0"/>
                <w:iCs w:val="0"/>
                <w:color w:val="000000"/>
                <w:sz w:val="24"/>
                <w:szCs w:val="24"/>
                <w:u w:val="none"/>
              </w:rPr>
            </w:pPr>
          </w:p>
        </w:tc>
      </w:tr>
      <w:tr w14:paraId="3B0D2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23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7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峨山彝族自治县</w:t>
            </w:r>
          </w:p>
        </w:tc>
        <w:tc>
          <w:tcPr>
            <w:tcW w:w="2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C0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1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23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48BB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w:t>
            </w:r>
          </w:p>
        </w:tc>
        <w:tc>
          <w:tcPr>
            <w:tcW w:w="2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D7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r>
      <w:tr w14:paraId="76C29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9" w:hRule="atLeast"/>
        </w:trPr>
        <w:tc>
          <w:tcPr>
            <w:tcW w:w="13080" w:type="dxa"/>
            <w:gridSpan w:val="6"/>
            <w:tcBorders>
              <w:top w:val="nil"/>
              <w:left w:val="nil"/>
              <w:bottom w:val="nil"/>
              <w:right w:val="nil"/>
            </w:tcBorders>
            <w:shd w:val="clear" w:color="auto" w:fill="auto"/>
            <w:vAlign w:val="center"/>
          </w:tcPr>
          <w:p w14:paraId="0A289D8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备注：1.本公示表的数据根据本县零售点布局规划实行定期评价、动态管理。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2.每季度根据云南省峨山彝族自治县烟草专卖零售许可证规划总量（户）数据5％进行动态调整，规划数相应进行动态更新，以公示的数据为准。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3.本数据由峨山彝族自治县烟草专卖局负责解释，咨询电话：0877-4011628，0877-4014423。</w:t>
            </w:r>
          </w:p>
        </w:tc>
      </w:tr>
    </w:tbl>
    <w:p w14:paraId="60791D2B">
      <w:pPr>
        <w:rPr>
          <w:rFonts w:ascii="仿宋_GB2312" w:hAnsi="仿宋_GB2312" w:eastAsia="仿宋_GB2312" w:cs="仿宋_GB2312"/>
          <w:spacing w:val="10"/>
          <w:sz w:val="32"/>
          <w:szCs w:val="32"/>
        </w:rPr>
      </w:pPr>
    </w:p>
    <w:p w14:paraId="60B56284">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sectPr>
          <w:type w:val="continuous"/>
          <w:pgSz w:w="16838" w:h="11906" w:orient="landscape"/>
          <w:pgMar w:top="1417" w:right="1134" w:bottom="1417" w:left="1134" w:header="851" w:footer="992" w:gutter="0"/>
          <w:pgNumType w:fmt="numberInDash"/>
          <w:cols w:space="425" w:num="1"/>
          <w:docGrid w:type="lines" w:linePitch="312" w:charSpace="0"/>
        </w:sectPr>
      </w:pPr>
    </w:p>
    <w:p w14:paraId="3FC55788">
      <w:pPr>
        <w:spacing w:before="104" w:line="224" w:lineRule="auto"/>
        <w:rPr>
          <w:rFonts w:hint="eastAsia" w:ascii="方正小标宋简体" w:eastAsia="黑体"/>
          <w:b/>
          <w:bCs/>
          <w:sz w:val="44"/>
          <w:szCs w:val="44"/>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5</w:t>
      </w:r>
    </w:p>
    <w:p w14:paraId="4B229D6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云南省峨山彝族自治县烟草制品零售点</w:t>
      </w:r>
    </w:p>
    <w:p w14:paraId="41C26E6D">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14:paraId="51AA6817">
      <w:pPr>
        <w:numPr>
          <w:ilvl w:val="2"/>
          <w:numId w:val="1"/>
        </w:numPr>
        <w:adjustRightInd w:val="0"/>
        <w:snapToGrid w:val="0"/>
        <w:spacing w:line="336" w:lineRule="auto"/>
        <w:ind w:firstLine="680"/>
        <w:jc w:val="left"/>
        <w:rPr>
          <w:rFonts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峨山彝族自治县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14:paraId="7C0A30B6">
      <w:pPr>
        <w:numPr>
          <w:ilvl w:val="2"/>
          <w:numId w:val="1"/>
        </w:numPr>
        <w:adjustRightInd w:val="0"/>
        <w:snapToGrid w:val="0"/>
        <w:spacing w:line="336" w:lineRule="auto"/>
        <w:ind w:firstLine="680"/>
        <w:jc w:val="left"/>
        <w:rPr>
          <w:rFonts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w:t>
      </w:r>
      <w:r>
        <w:rPr>
          <w:rFonts w:hint="eastAsia" w:ascii="仿宋_GB2312" w:hAnsi="仿宋_GB2312" w:eastAsia="仿宋_GB2312" w:cs="仿宋_GB2312"/>
          <w:sz w:val="32"/>
          <w:szCs w:val="32"/>
        </w:rPr>
        <w:t>峨山彝族自治县</w:t>
      </w:r>
      <w:r>
        <w:rPr>
          <w:rFonts w:hint="eastAsia" w:ascii="仿宋_GB2312" w:hAnsi="仿宋_GB2312" w:eastAsia="仿宋_GB2312" w:cs="仿宋_GB2312"/>
          <w:kern w:val="28"/>
          <w:sz w:val="32"/>
          <w:szCs w:val="32"/>
        </w:rPr>
        <w:t>烟草制品零售点合理布局规划》，</w:t>
      </w:r>
      <w:r>
        <w:rPr>
          <w:rFonts w:hint="eastAsia" w:ascii="仿宋_GB2312" w:hAnsi="仿宋_GB2312" w:eastAsia="仿宋_GB2312" w:cs="仿宋_GB2312"/>
          <w:sz w:val="32"/>
          <w:szCs w:val="32"/>
        </w:rPr>
        <w:t>峨山彝族自治县烟草专卖局每季度根据本地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14:paraId="63B3D52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零售点合理布局规划数动态调整情况应提交峨山彝族自治县</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五日内通过政府网站、行业网站及政务服务大厅等平台公示《云南省峨山彝族自治县烟草制品零售点合理布局公示表》，同时报上一级烟草专卖局备案。</w:t>
      </w:r>
    </w:p>
    <w:p w14:paraId="3FF81DAB">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14:paraId="2D4EEEE0">
      <w:pPr>
        <w:numPr>
          <w:ilvl w:val="2"/>
          <w:numId w:val="1"/>
        </w:numPr>
        <w:adjustRightInd w:val="0"/>
        <w:snapToGrid w:val="0"/>
        <w:spacing w:line="336" w:lineRule="auto"/>
        <w:ind w:firstLine="680"/>
        <w:jc w:val="left"/>
        <w:rPr>
          <w:rFonts w:ascii="楷体" w:hAnsi="楷体" w:eastAsia="楷体" w:cs="楷体"/>
          <w:sz w:val="32"/>
          <w:szCs w:val="32"/>
        </w:rPr>
      </w:pPr>
      <w:r>
        <w:rPr>
          <w:rFonts w:hint="eastAsia" w:ascii="仿宋_GB2312" w:hAnsi="仿宋_GB2312" w:eastAsia="仿宋_GB2312" w:cs="仿宋_GB2312"/>
          <w:sz w:val="32"/>
          <w:szCs w:val="32"/>
        </w:rPr>
        <w:t>峨山彝族自治县烟草专卖局每年年底向上一级烟草专卖局报告本年度烟草制品零售点合理布局规划数动态调整工作执行情况。</w:t>
      </w:r>
    </w:p>
    <w:p w14:paraId="7B1D7A35">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7ADEF418">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本制度由云南省峨山彝族自治县烟草专卖局负责解释。</w:t>
      </w:r>
    </w:p>
    <w:p w14:paraId="06E91596">
      <w:pPr>
        <w:numPr>
          <w:ilvl w:val="2"/>
          <w:numId w:val="1"/>
        </w:numPr>
        <w:adjustRightInd w:val="0"/>
        <w:snapToGrid w:val="0"/>
        <w:spacing w:line="336" w:lineRule="auto"/>
        <w:ind w:firstLine="68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本制度自《云南省峨山彝族自治县烟草制品零售点合理布局规划》实施之日起同时施行。</w:t>
      </w:r>
    </w:p>
    <w:p w14:paraId="5BB9AEF6">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02AC91">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AAB5BC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8C3F45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E9AB2D">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45D607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7B0849C5">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54FD737">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4D699C7E">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3CAA6859">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15A0F44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82852CB">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0EFFF277">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75E87728">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pPr>
    </w:p>
    <w:p w14:paraId="548454F0">
      <w:pPr>
        <w:keepNext w:val="0"/>
        <w:keepLines w:val="0"/>
        <w:pageBreakBefore w:val="0"/>
        <w:numPr>
          <w:ilvl w:val="255"/>
          <w:numId w:val="0"/>
        </w:numPr>
        <w:kinsoku/>
        <w:wordWrap/>
        <w:overflowPunct/>
        <w:topLinePunct w:val="0"/>
        <w:autoSpaceDE/>
        <w:autoSpaceDN/>
        <w:bidi w:val="0"/>
        <w:snapToGrid w:val="0"/>
        <w:spacing w:line="336" w:lineRule="auto"/>
        <w:ind w:firstLine="640" w:firstLineChars="200"/>
        <w:textAlignment w:val="baseline"/>
        <w:rPr>
          <w:rFonts w:eastAsia="仿宋_GB2312"/>
          <w:sz w:val="32"/>
          <w:szCs w:val="32"/>
        </w:rPr>
        <w:sectPr>
          <w:footerReference r:id="rId4" w:type="default"/>
          <w:footerReference r:id="rId5" w:type="even"/>
          <w:type w:val="continuous"/>
          <w:pgSz w:w="11906" w:h="16838"/>
          <w:pgMar w:top="1440" w:right="1800" w:bottom="1440" w:left="1800" w:header="851" w:footer="992" w:gutter="0"/>
          <w:cols w:space="425" w:num="1"/>
          <w:docGrid w:type="lines" w:linePitch="312" w:charSpace="0"/>
        </w:sectPr>
      </w:pPr>
    </w:p>
    <w:p w14:paraId="39B6697B">
      <w:pPr>
        <w:spacing w:before="104" w:line="224" w:lineRule="auto"/>
        <w:rPr>
          <w:rFonts w:hint="eastAsia" w:ascii="黑体" w:hAnsi="黑体" w:eastAsia="黑体" w:cs="黑体"/>
          <w:spacing w:val="8"/>
          <w:sz w:val="32"/>
          <w:szCs w:val="32"/>
          <w:lang w:val="en-US" w:eastAsia="zh-CN"/>
        </w:rPr>
      </w:pPr>
      <w:r>
        <w:rPr>
          <w:rFonts w:hint="eastAsia" w:ascii="黑体" w:hAnsi="黑体" w:eastAsia="黑体" w:cs="黑体"/>
          <w:spacing w:val="8"/>
          <w:sz w:val="32"/>
          <w:szCs w:val="32"/>
        </w:rPr>
        <w:t>附件</w:t>
      </w:r>
      <w:r>
        <w:rPr>
          <w:rFonts w:hint="eastAsia" w:ascii="黑体" w:hAnsi="黑体" w:eastAsia="黑体" w:cs="黑体"/>
          <w:spacing w:val="8"/>
          <w:sz w:val="32"/>
          <w:szCs w:val="32"/>
          <w:lang w:val="en-US" w:eastAsia="zh-CN"/>
        </w:rPr>
        <w:t>6</w:t>
      </w:r>
    </w:p>
    <w:p w14:paraId="36CC6EBE">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云南省峨山彝族自治县烟草制品</w:t>
      </w:r>
    </w:p>
    <w:p w14:paraId="70BD379A">
      <w:pPr>
        <w:snapToGrid w:val="0"/>
        <w:spacing w:line="317" w:lineRule="auto"/>
        <w:jc w:val="center"/>
        <w:rPr>
          <w:rFonts w:ascii="仿宋_GB2312" w:hAnsi="仿宋_GB2312" w:eastAsia="仿宋_GB2312" w:cs="仿宋_GB2312"/>
          <w:sz w:val="32"/>
          <w:szCs w:val="32"/>
        </w:rPr>
      </w:pPr>
      <w:r>
        <w:rPr>
          <w:rFonts w:hint="eastAsia" w:ascii="方正小标宋简体" w:eastAsia="方正小标宋简体"/>
          <w:sz w:val="44"/>
          <w:szCs w:val="44"/>
        </w:rPr>
        <w:t>零售点排队轮候制度</w:t>
      </w:r>
    </w:p>
    <w:p w14:paraId="75BE80FB">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第一条　</w:t>
      </w:r>
      <w:r>
        <w:rPr>
          <w:rFonts w:hint="eastAsia" w:ascii="仿宋_GB2312" w:hAnsi="仿宋_GB2312" w:eastAsia="仿宋_GB2312" w:cs="仿宋_GB2312"/>
          <w:sz w:val="32"/>
          <w:szCs w:val="32"/>
        </w:rPr>
        <w:t>为坚持公平、公正、公开原则，规范实施《云南省峨山彝族自治县烟草制品零售点合理布局规划》，根据《中华人民共和国行政许可法》《烟草专卖许可证管理办法》《烟草专卖许可证管理办法实施细则》等法律法规规章和规范性文件的规定，结合云南省峨山彝族自治县实际，制定本制度。</w:t>
      </w:r>
    </w:p>
    <w:p w14:paraId="5CE336E6">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第二条　</w:t>
      </w:r>
      <w:r>
        <w:rPr>
          <w:rFonts w:hint="eastAsia" w:ascii="仿宋_GB2312" w:hAnsi="仿宋_GB2312" w:eastAsia="仿宋_GB2312" w:cs="仿宋_GB2312"/>
          <w:sz w:val="32"/>
          <w:szCs w:val="32"/>
        </w:rPr>
        <w:t>本制度适用于云南省峨山彝族自治县行政辖区烟草制品零售点新办申请排队轮候管理。</w:t>
      </w:r>
    </w:p>
    <w:p w14:paraId="4189211A">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黑体" w:hAnsi="黑体" w:eastAsia="黑体" w:cs="黑体"/>
          <w:sz w:val="32"/>
          <w:szCs w:val="32"/>
        </w:rPr>
        <w:t>第三条　</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14:paraId="7D86E68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第四条　</w:t>
      </w: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本县</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14:paraId="7FF7AB14">
      <w:pPr>
        <w:adjustRightInd w:val="0"/>
        <w:snapToGrid w:val="0"/>
        <w:spacing w:line="336" w:lineRule="auto"/>
        <w:ind w:firstLine="640" w:firstLineChars="200"/>
        <w:rPr>
          <w:rFonts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14:paraId="4CCC60C9">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第五条　</w:t>
      </w: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14:paraId="7F292C2D">
      <w:pPr>
        <w:adjustRightInd w:val="0"/>
        <w:snapToGrid w:val="0"/>
        <w:spacing w:line="336" w:lineRule="auto"/>
        <w:ind w:firstLine="640" w:firstLineChars="200"/>
        <w:rPr>
          <w:rFonts w:ascii="楷体" w:hAnsi="楷体" w:eastAsia="楷体" w:cs="楷体"/>
          <w:sz w:val="32"/>
          <w:szCs w:val="32"/>
          <w:highlight w:val="lightGray"/>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14:paraId="591D5670">
      <w:pPr>
        <w:numPr>
          <w:ilvl w:val="2"/>
          <w:numId w:val="0"/>
        </w:numPr>
        <w:adjustRightInd w:val="0"/>
        <w:snapToGrid w:val="0"/>
        <w:spacing w:line="336" w:lineRule="auto"/>
        <w:ind w:left="-10" w:firstLine="640"/>
        <w:rPr>
          <w:rFonts w:ascii="楷体" w:hAnsi="楷体" w:eastAsia="楷体" w:cs="楷体"/>
          <w:sz w:val="32"/>
          <w:szCs w:val="32"/>
        </w:rPr>
      </w:pPr>
      <w:r>
        <w:rPr>
          <w:rFonts w:hint="eastAsia" w:ascii="楷体" w:hAnsi="楷体" w:eastAsia="黑体" w:cs="楷体"/>
          <w:sz w:val="32"/>
          <w:szCs w:val="32"/>
        </w:rPr>
        <w:t>第六条　</w:t>
      </w:r>
      <w:r>
        <w:rPr>
          <w:rFonts w:hint="eastAsia" w:ascii="仿宋_GB2312" w:hAnsi="仿宋_GB2312" w:eastAsia="仿宋_GB2312" w:cs="仿宋_GB2312"/>
          <w:sz w:val="32"/>
          <w:szCs w:val="32"/>
        </w:rPr>
        <w:t>零售点排队轮候采取最小单元网格管理。自愿加入排队轮候的申请人，应线上填写并提交《云南省峨山彝族自治县烟草制品零售点排队轮候申请表》（详见附表）。申请人在填报信息时应准确、真实。</w:t>
      </w:r>
    </w:p>
    <w:p w14:paraId="3AE8A750">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第七条　</w:t>
      </w: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14:paraId="5434BDE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第八条　</w:t>
      </w:r>
      <w:r>
        <w:rPr>
          <w:rFonts w:hint="eastAsia" w:ascii="仿宋_GB2312" w:hAnsi="仿宋_GB2312" w:eastAsia="仿宋_GB2312" w:cs="仿宋_GB2312"/>
          <w:sz w:val="32"/>
          <w:szCs w:val="32"/>
        </w:rPr>
        <w:t>发证机关应公开排队轮候情况，并接受公众监督。申请人可通过线上、线下等方式查询排队轮候情况。</w:t>
      </w:r>
    </w:p>
    <w:p w14:paraId="3E66597B">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第九条　</w:t>
      </w: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14:paraId="474C8512">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第十条　</w:t>
      </w: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14:paraId="30E172BC">
      <w:pPr>
        <w:numPr>
          <w:ilvl w:val="2"/>
          <w:numId w:val="0"/>
        </w:numPr>
        <w:adjustRightInd w:val="0"/>
        <w:snapToGrid w:val="0"/>
        <w:spacing w:line="336" w:lineRule="auto"/>
        <w:ind w:left="-10" w:firstLine="640"/>
        <w:rPr>
          <w:rFonts w:ascii="仿宋_GB2312" w:hAnsi="仿宋_GB2312" w:eastAsia="仿宋_GB2312" w:cs="仿宋_GB2312"/>
          <w:sz w:val="32"/>
          <w:szCs w:val="32"/>
        </w:rPr>
      </w:pPr>
      <w:r>
        <w:rPr>
          <w:rFonts w:hint="eastAsia" w:ascii="仿宋_GB2312" w:hAnsi="仿宋_GB2312" w:eastAsia="黑体" w:cs="仿宋_GB2312"/>
          <w:sz w:val="32"/>
          <w:szCs w:val="32"/>
        </w:rPr>
        <w:t>第十一条　</w:t>
      </w:r>
      <w:r>
        <w:rPr>
          <w:rFonts w:hint="eastAsia" w:ascii="仿宋_GB2312" w:hAnsi="仿宋_GB2312" w:eastAsia="仿宋_GB2312" w:cs="仿宋_GB2312"/>
          <w:sz w:val="32"/>
          <w:szCs w:val="32"/>
        </w:rPr>
        <w:t>峨山彝族自治县烟草专卖局每年年底向上一级烟草专卖局报告本年度烟草制品零售点排队轮候管理工作情况。</w:t>
      </w:r>
    </w:p>
    <w:p w14:paraId="58CFB949">
      <w:pPr>
        <w:numPr>
          <w:ilvl w:val="2"/>
          <w:numId w:val="0"/>
        </w:numPr>
        <w:adjustRightInd w:val="0"/>
        <w:snapToGrid w:val="0"/>
        <w:spacing w:line="336" w:lineRule="auto"/>
        <w:ind w:left="-10" w:firstLine="640"/>
        <w:rPr>
          <w:rFonts w:ascii="黑体" w:hAnsi="黑体" w:eastAsia="黑体" w:cs="黑体"/>
          <w:sz w:val="32"/>
          <w:szCs w:val="32"/>
        </w:rPr>
      </w:pPr>
      <w:r>
        <w:rPr>
          <w:rFonts w:hint="eastAsia" w:ascii="黑体" w:hAnsi="黑体" w:eastAsia="黑体" w:cs="黑体"/>
          <w:sz w:val="32"/>
          <w:szCs w:val="32"/>
        </w:rPr>
        <w:t>第十二条　</w:t>
      </w:r>
      <w:r>
        <w:rPr>
          <w:rFonts w:hint="eastAsia" w:ascii="仿宋_GB2312" w:hAnsi="仿宋_GB2312" w:eastAsia="仿宋_GB2312" w:cs="仿宋_GB2312"/>
          <w:sz w:val="32"/>
          <w:szCs w:val="32"/>
        </w:rPr>
        <w:t>发证机关接收和办理排队轮候业务，不得收取任何费用。</w:t>
      </w:r>
    </w:p>
    <w:p w14:paraId="38D9A60C">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第十三条　</w:t>
      </w: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14:paraId="540D6D49">
      <w:pPr>
        <w:numPr>
          <w:ilvl w:val="2"/>
          <w:numId w:val="0"/>
        </w:numPr>
        <w:adjustRightInd w:val="0"/>
        <w:snapToGrid w:val="0"/>
        <w:spacing w:line="336" w:lineRule="auto"/>
        <w:ind w:left="-10" w:firstLine="680"/>
        <w:rPr>
          <w:rFonts w:ascii="仿宋_GB2312" w:hAnsi="仿宋_GB2312" w:eastAsia="仿宋_GB2312" w:cs="仿宋_GB2312"/>
          <w:sz w:val="32"/>
          <w:szCs w:val="32"/>
        </w:rPr>
      </w:pPr>
      <w:r>
        <w:rPr>
          <w:rFonts w:hint="eastAsia" w:ascii="仿宋_GB2312" w:hAnsi="仿宋_GB2312" w:eastAsia="黑体" w:cs="仿宋_GB2312"/>
          <w:sz w:val="32"/>
          <w:szCs w:val="32"/>
        </w:rPr>
        <w:t>第十四条　</w:t>
      </w:r>
      <w:r>
        <w:rPr>
          <w:rFonts w:hint="eastAsia" w:ascii="仿宋_GB2312" w:hAnsi="仿宋_GB2312" w:eastAsia="仿宋_GB2312" w:cs="仿宋_GB2312"/>
          <w:sz w:val="32"/>
          <w:szCs w:val="32"/>
        </w:rPr>
        <w:t>本制度由云南省峨山彝族自治县烟草专卖局负责解释。</w:t>
      </w:r>
    </w:p>
    <w:p w14:paraId="1B3919E6">
      <w:pPr>
        <w:numPr>
          <w:ilvl w:val="2"/>
          <w:numId w:val="0"/>
        </w:numPr>
        <w:adjustRightInd w:val="0"/>
        <w:snapToGrid w:val="0"/>
        <w:spacing w:line="336" w:lineRule="auto"/>
        <w:ind w:left="-10" w:firstLine="680"/>
        <w:rPr>
          <w:rFonts w:ascii="楷体" w:hAnsi="楷体" w:eastAsia="楷体" w:cs="楷体"/>
          <w:sz w:val="32"/>
          <w:szCs w:val="32"/>
        </w:rPr>
      </w:pPr>
      <w:r>
        <w:rPr>
          <w:rFonts w:hint="eastAsia" w:ascii="楷体" w:hAnsi="楷体" w:eastAsia="黑体" w:cs="楷体"/>
          <w:sz w:val="32"/>
          <w:szCs w:val="32"/>
        </w:rPr>
        <w:t>第十五条　</w:t>
      </w:r>
      <w:r>
        <w:rPr>
          <w:rFonts w:hint="eastAsia" w:ascii="仿宋_GB2312" w:hAnsi="仿宋_GB2312" w:eastAsia="仿宋_GB2312" w:cs="仿宋_GB2312"/>
          <w:sz w:val="32"/>
          <w:szCs w:val="32"/>
        </w:rPr>
        <w:t>本制度自《云南省峨山彝族自治县烟草制品零售点合理布局规划》实施之日起同时施行。</w:t>
      </w:r>
    </w:p>
    <w:p w14:paraId="7D0A0092">
      <w:pPr>
        <w:adjustRightInd w:val="0"/>
        <w:snapToGrid w:val="0"/>
        <w:spacing w:line="336" w:lineRule="auto"/>
        <w:ind w:left="402" w:firstLine="640" w:firstLineChars="200"/>
        <w:rPr>
          <w:rFonts w:ascii="仿宋_GB2312" w:hAnsi="仿宋_GB2312" w:eastAsia="仿宋_GB2312" w:cs="仿宋_GB2312"/>
          <w:sz w:val="32"/>
          <w:szCs w:val="32"/>
        </w:rPr>
      </w:pPr>
    </w:p>
    <w:p w14:paraId="498C8B4E">
      <w:pPr>
        <w:adjustRightInd w:val="0"/>
        <w:snapToGrid w:val="0"/>
        <w:spacing w:line="336" w:lineRule="auto"/>
        <w:ind w:left="402"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附表：云南省峨山彝族自治县烟草制品零售点排队轮候申请表</w:t>
      </w:r>
    </w:p>
    <w:p w14:paraId="5F66CD04">
      <w:pPr>
        <w:widowControl/>
        <w:jc w:val="left"/>
        <w:rPr>
          <w:rFonts w:ascii="黑体" w:hAnsi="黑体" w:eastAsia="黑体" w:cs="黑体"/>
          <w:sz w:val="32"/>
          <w:szCs w:val="32"/>
        </w:rPr>
      </w:pPr>
      <w:r>
        <w:rPr>
          <w:rFonts w:ascii="黑体" w:hAnsi="黑体" w:eastAsia="黑体" w:cs="黑体"/>
          <w:sz w:val="32"/>
          <w:szCs w:val="32"/>
        </w:rPr>
        <w:br w:type="page"/>
      </w:r>
    </w:p>
    <w:p w14:paraId="58061DED">
      <w:pPr>
        <w:spacing w:line="360" w:lineRule="auto"/>
        <w:rPr>
          <w:rFonts w:ascii="黑体" w:hAnsi="黑体" w:eastAsia="黑体" w:cs="黑体"/>
          <w:sz w:val="44"/>
          <w:szCs w:val="44"/>
        </w:rPr>
      </w:pPr>
      <w:r>
        <w:rPr>
          <w:rFonts w:hint="eastAsia" w:ascii="黑体" w:hAnsi="黑体" w:eastAsia="黑体" w:cs="黑体"/>
          <w:sz w:val="32"/>
          <w:szCs w:val="32"/>
        </w:rPr>
        <w:t>附表</w:t>
      </w:r>
    </w:p>
    <w:p w14:paraId="5C3B1B17">
      <w:pPr>
        <w:spacing w:line="360" w:lineRule="auto"/>
        <w:ind w:left="402"/>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云南省峨山彝族自治县烟草制品零售点排队轮候申请表</w:t>
      </w:r>
    </w:p>
    <w:tbl>
      <w:tblPr>
        <w:tblStyle w:val="11"/>
        <w:tblW w:w="0" w:type="auto"/>
        <w:tblInd w:w="96" w:type="dxa"/>
        <w:tblLayout w:type="fixed"/>
        <w:tblCellMar>
          <w:top w:w="0" w:type="dxa"/>
          <w:left w:w="108" w:type="dxa"/>
          <w:bottom w:w="0" w:type="dxa"/>
          <w:right w:w="108" w:type="dxa"/>
        </w:tblCellMar>
      </w:tblPr>
      <w:tblGrid>
        <w:gridCol w:w="2422"/>
        <w:gridCol w:w="2283"/>
        <w:gridCol w:w="1543"/>
        <w:gridCol w:w="2178"/>
      </w:tblGrid>
      <w:tr w14:paraId="656467DC">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94D56">
            <w:pPr>
              <w:widowControl/>
              <w:jc w:val="center"/>
              <w:textAlignment w:val="center"/>
              <w:rPr>
                <w:rFonts w:ascii="宋体" w:hAnsi="宋体" w:cs="宋体"/>
                <w:b/>
                <w:bCs/>
                <w:sz w:val="24"/>
              </w:rPr>
            </w:pPr>
            <w:r>
              <w:rPr>
                <w:rFonts w:hint="eastAsia" w:ascii="宋体" w:hAnsi="宋体" w:cs="宋体"/>
                <w:b/>
                <w:bCs/>
                <w:kern w:val="0"/>
                <w:sz w:val="24"/>
                <w:lang w:bidi="ar"/>
              </w:rPr>
              <w:t>申请人基本信息</w:t>
            </w:r>
          </w:p>
        </w:tc>
      </w:tr>
      <w:tr w14:paraId="49C7BD16">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944356">
            <w:pPr>
              <w:widowControl/>
              <w:jc w:val="center"/>
              <w:textAlignment w:val="center"/>
              <w:rPr>
                <w:rFonts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CB6B2">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C73D3">
            <w:pPr>
              <w:widowControl/>
              <w:jc w:val="center"/>
              <w:textAlignment w:val="center"/>
              <w:rPr>
                <w:rFonts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625D4">
            <w:pPr>
              <w:jc w:val="center"/>
              <w:rPr>
                <w:rFonts w:ascii="宋体" w:hAnsi="宋体" w:cs="宋体"/>
                <w:sz w:val="24"/>
              </w:rPr>
            </w:pPr>
          </w:p>
        </w:tc>
      </w:tr>
      <w:tr w14:paraId="603C111E">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67712">
            <w:pPr>
              <w:widowControl/>
              <w:jc w:val="center"/>
              <w:textAlignment w:val="center"/>
              <w:rPr>
                <w:rFonts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82A81">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1FEA1">
            <w:pPr>
              <w:widowControl/>
              <w:jc w:val="center"/>
              <w:textAlignment w:val="center"/>
              <w:rPr>
                <w:rFonts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337CF">
            <w:pPr>
              <w:jc w:val="center"/>
              <w:rPr>
                <w:rFonts w:ascii="宋体" w:hAnsi="宋体" w:cs="宋体"/>
                <w:sz w:val="24"/>
              </w:rPr>
            </w:pPr>
          </w:p>
        </w:tc>
      </w:tr>
      <w:tr w14:paraId="3CD23BBF">
        <w:tblPrEx>
          <w:tblCellMar>
            <w:top w:w="0" w:type="dxa"/>
            <w:left w:w="108" w:type="dxa"/>
            <w:bottom w:w="0" w:type="dxa"/>
            <w:right w:w="108" w:type="dxa"/>
          </w:tblCellMar>
        </w:tblPrEx>
        <w:trPr>
          <w:trHeight w:val="55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6D3EB">
            <w:pPr>
              <w:widowControl/>
              <w:jc w:val="center"/>
              <w:textAlignment w:val="center"/>
              <w:rPr>
                <w:rFonts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EEBE9">
            <w:pPr>
              <w:jc w:val="center"/>
              <w:rPr>
                <w:rFonts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594F8">
            <w:pPr>
              <w:widowControl/>
              <w:jc w:val="center"/>
              <w:textAlignment w:val="center"/>
              <w:rPr>
                <w:rFonts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19F8F">
            <w:pPr>
              <w:jc w:val="center"/>
              <w:rPr>
                <w:rFonts w:ascii="宋体" w:hAnsi="宋体" w:cs="宋体"/>
                <w:sz w:val="24"/>
              </w:rPr>
            </w:pPr>
          </w:p>
        </w:tc>
      </w:tr>
      <w:tr w14:paraId="264EBE3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9CFBBC">
            <w:pPr>
              <w:widowControl/>
              <w:jc w:val="center"/>
              <w:textAlignment w:val="center"/>
              <w:rPr>
                <w:rFonts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63510">
            <w:pPr>
              <w:jc w:val="center"/>
              <w:rPr>
                <w:rFonts w:ascii="宋体" w:hAnsi="宋体" w:cs="宋体"/>
                <w:sz w:val="24"/>
              </w:rPr>
            </w:pPr>
          </w:p>
        </w:tc>
      </w:tr>
      <w:tr w14:paraId="14A3E694">
        <w:tblPrEx>
          <w:tblCellMar>
            <w:top w:w="0" w:type="dxa"/>
            <w:left w:w="108" w:type="dxa"/>
            <w:bottom w:w="0" w:type="dxa"/>
            <w:right w:w="108" w:type="dxa"/>
          </w:tblCellMar>
        </w:tblPrEx>
        <w:trPr>
          <w:trHeight w:val="495"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6FDA1">
            <w:pPr>
              <w:widowControl/>
              <w:jc w:val="center"/>
              <w:textAlignment w:val="center"/>
              <w:rPr>
                <w:rFonts w:ascii="宋体" w:hAnsi="宋体" w:cs="宋体"/>
                <w:b/>
                <w:bCs/>
                <w:sz w:val="24"/>
              </w:rPr>
            </w:pPr>
            <w:r>
              <w:rPr>
                <w:rFonts w:hint="eastAsia" w:ascii="宋体" w:hAnsi="宋体" w:cs="宋体"/>
                <w:b/>
                <w:bCs/>
                <w:kern w:val="0"/>
                <w:sz w:val="24"/>
                <w:lang w:bidi="ar"/>
              </w:rPr>
              <w:t>营业执照基本信息</w:t>
            </w:r>
          </w:p>
        </w:tc>
      </w:tr>
      <w:tr w14:paraId="44CDACDD">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1D747">
            <w:pPr>
              <w:widowControl/>
              <w:jc w:val="center"/>
              <w:textAlignment w:val="center"/>
              <w:rPr>
                <w:rFonts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AFC630">
            <w:pPr>
              <w:jc w:val="center"/>
              <w:rPr>
                <w:rFonts w:ascii="宋体" w:hAnsi="宋体" w:cs="宋体"/>
                <w:sz w:val="24"/>
              </w:rPr>
            </w:pPr>
          </w:p>
        </w:tc>
      </w:tr>
      <w:tr w14:paraId="3657970E">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43E61">
            <w:pPr>
              <w:widowControl/>
              <w:jc w:val="center"/>
              <w:textAlignment w:val="center"/>
              <w:rPr>
                <w:rFonts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4213">
            <w:pPr>
              <w:jc w:val="center"/>
              <w:rPr>
                <w:rFonts w:ascii="宋体" w:hAnsi="宋体" w:cs="宋体"/>
                <w:sz w:val="24"/>
              </w:rPr>
            </w:pPr>
          </w:p>
        </w:tc>
      </w:tr>
      <w:tr w14:paraId="5187244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3EADE">
            <w:pPr>
              <w:widowControl/>
              <w:jc w:val="center"/>
              <w:textAlignment w:val="center"/>
              <w:rPr>
                <w:rFonts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DF91D4">
            <w:pPr>
              <w:jc w:val="center"/>
              <w:rPr>
                <w:rFonts w:ascii="宋体" w:hAnsi="宋体" w:cs="宋体"/>
                <w:sz w:val="24"/>
              </w:rPr>
            </w:pPr>
          </w:p>
        </w:tc>
      </w:tr>
      <w:tr w14:paraId="283AB11F">
        <w:tblPrEx>
          <w:tblCellMar>
            <w:top w:w="0" w:type="dxa"/>
            <w:left w:w="108" w:type="dxa"/>
            <w:bottom w:w="0" w:type="dxa"/>
            <w:right w:w="108" w:type="dxa"/>
          </w:tblCellMar>
        </w:tblPrEx>
        <w:trPr>
          <w:trHeight w:val="495"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A315E">
            <w:pPr>
              <w:widowControl/>
              <w:jc w:val="center"/>
              <w:textAlignment w:val="center"/>
              <w:rPr>
                <w:rFonts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B3CEF">
            <w:pPr>
              <w:jc w:val="center"/>
              <w:rPr>
                <w:rFonts w:ascii="宋体" w:hAnsi="宋体" w:cs="宋体"/>
                <w:sz w:val="24"/>
              </w:rPr>
            </w:pPr>
          </w:p>
        </w:tc>
      </w:tr>
      <w:tr w14:paraId="0214F27E">
        <w:tblPrEx>
          <w:tblCellMar>
            <w:top w:w="0" w:type="dxa"/>
            <w:left w:w="108" w:type="dxa"/>
            <w:bottom w:w="0" w:type="dxa"/>
            <w:right w:w="108" w:type="dxa"/>
          </w:tblCellMar>
        </w:tblPrEx>
        <w:trPr>
          <w:trHeight w:val="2400"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6816392">
            <w:pPr>
              <w:widowControl/>
              <w:jc w:val="left"/>
              <w:textAlignment w:val="center"/>
              <w:rPr>
                <w:rStyle w:val="22"/>
                <w:rFonts w:hint="default"/>
                <w:color w:val="auto"/>
                <w:lang w:bidi="ar"/>
              </w:rPr>
            </w:pPr>
            <w:r>
              <w:rPr>
                <w:rStyle w:val="22"/>
                <w:rFonts w:hint="default"/>
                <w:color w:val="auto"/>
                <w:lang w:bidi="ar"/>
              </w:rPr>
              <w:t>申请人承诺：</w:t>
            </w:r>
          </w:p>
          <w:p w14:paraId="7F4EBE82">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14:paraId="50AED683">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2.申请人所提交的预登记信息确保与到号办理时提交的办证信息一致，若不一致的，申请人应重新登记轮候；</w:t>
            </w:r>
          </w:p>
          <w:p w14:paraId="6E826E4B">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14:paraId="7B835888">
            <w:pPr>
              <w:widowControl/>
              <w:ind w:firstLine="482" w:firstLineChars="200"/>
              <w:jc w:val="left"/>
              <w:textAlignment w:val="center"/>
              <w:rPr>
                <w:rFonts w:ascii="宋体" w:hAnsi="宋体" w:cs="宋体"/>
                <w:b/>
                <w:bCs/>
                <w:sz w:val="24"/>
              </w:rPr>
            </w:pPr>
            <w:r>
              <w:rPr>
                <w:rStyle w:val="22"/>
                <w:rFonts w:hint="default"/>
                <w:color w:val="auto"/>
                <w:lang w:bidi="ar"/>
              </w:rPr>
              <w:t>申请人或代理人（签名或印章）：</w:t>
            </w:r>
            <w:r>
              <w:rPr>
                <w:rStyle w:val="23"/>
                <w:rFonts w:hint="default"/>
                <w:color w:val="auto"/>
                <w:lang w:bidi="ar"/>
              </w:rPr>
              <w:t xml:space="preserve">        </w:t>
            </w:r>
            <w:r>
              <w:rPr>
                <w:rStyle w:val="22"/>
                <w:rFonts w:hint="default"/>
                <w:color w:val="auto"/>
                <w:lang w:bidi="ar"/>
              </w:rPr>
              <w:t xml:space="preserve">                                                                         </w:t>
            </w:r>
          </w:p>
        </w:tc>
      </w:tr>
      <w:tr w14:paraId="3BF1C9B4">
        <w:tblPrEx>
          <w:tblCellMar>
            <w:top w:w="0" w:type="dxa"/>
            <w:left w:w="108" w:type="dxa"/>
            <w:bottom w:w="0" w:type="dxa"/>
            <w:right w:w="108" w:type="dxa"/>
          </w:tblCellMar>
        </w:tblPrEx>
        <w:trPr>
          <w:trHeight w:val="1166"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63E38">
            <w:pPr>
              <w:widowControl/>
              <w:jc w:val="center"/>
              <w:textAlignment w:val="center"/>
              <w:rPr>
                <w:rFonts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D82BBB6">
            <w:pPr>
              <w:jc w:val="center"/>
              <w:rPr>
                <w:rFonts w:ascii="宋体" w:hAnsi="宋体" w:cs="宋体"/>
                <w:b/>
                <w:bCs/>
                <w:sz w:val="24"/>
              </w:rPr>
            </w:pPr>
          </w:p>
        </w:tc>
      </w:tr>
    </w:tbl>
    <w:p w14:paraId="7F2276DC">
      <w:pPr>
        <w:spacing w:line="360" w:lineRule="auto"/>
        <w:ind w:left="402"/>
        <w:rPr>
          <w:rFonts w:ascii="方正小标宋简体" w:hAnsi="方正小标宋简体" w:eastAsia="方正小标宋简体" w:cs="方正小标宋简体"/>
          <w:sz w:val="44"/>
          <w:szCs w:val="44"/>
        </w:rPr>
      </w:pPr>
    </w:p>
    <w:p w14:paraId="7F45AB38">
      <w:pPr>
        <w:keepNext w:val="0"/>
        <w:keepLines w:val="0"/>
        <w:pageBreakBefore w:val="0"/>
        <w:numPr>
          <w:ilvl w:val="255"/>
          <w:numId w:val="0"/>
        </w:numPr>
        <w:kinsoku/>
        <w:wordWrap/>
        <w:overflowPunct/>
        <w:topLinePunct w:val="0"/>
        <w:autoSpaceDE/>
        <w:autoSpaceDN/>
        <w:bidi w:val="0"/>
        <w:snapToGrid w:val="0"/>
        <w:spacing w:line="336" w:lineRule="auto"/>
        <w:textAlignment w:val="baseline"/>
        <w:rPr>
          <w:rFonts w:eastAsia="仿宋_GB2312"/>
          <w:sz w:val="32"/>
          <w:szCs w:val="32"/>
        </w:rPr>
      </w:pPr>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6EA216C-984D-4C95-8A5C-91E61E5A4B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4B5BCCC5-8AEB-444F-A564-D3BDEB7F28B6}"/>
  </w:font>
  <w:font w:name="等线 Light">
    <w:panose1 w:val="02010600030101010101"/>
    <w:charset w:val="86"/>
    <w:family w:val="auto"/>
    <w:pitch w:val="default"/>
    <w:sig w:usb0="A00002BF" w:usb1="38CF7CFA" w:usb2="00000016" w:usb3="00000000" w:csb0="0004000F" w:csb1="00000000"/>
  </w:font>
  <w:font w:name="方正仿宋">
    <w:altName w:val="仿宋"/>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66DD6BD8-8BA1-4256-A200-7150C5FF46BE}"/>
  </w:font>
  <w:font w:name="国标黑体">
    <w:altName w:val="黑体"/>
    <w:panose1 w:val="00000000000000000000"/>
    <w:charset w:val="00"/>
    <w:family w:val="auto"/>
    <w:pitch w:val="default"/>
    <w:sig w:usb0="00000000" w:usb1="00000000" w:usb2="00000000" w:usb3="00000000" w:csb0="00000000" w:csb1="00000000"/>
    <w:embedRegular r:id="rId4" w:fontKey="{571B4046-DDC6-48D7-8BE6-50C9A57B5139}"/>
  </w:font>
  <w:font w:name="楷体_GB2312">
    <w:panose1 w:val="02010609030101010101"/>
    <w:charset w:val="86"/>
    <w:family w:val="modern"/>
    <w:pitch w:val="default"/>
    <w:sig w:usb0="00000001" w:usb1="080E0000" w:usb2="00000000" w:usb3="00000000" w:csb0="00040000" w:csb1="00000000"/>
    <w:embedRegular r:id="rId5" w:fontKey="{72532BEA-77E3-4A3D-8CBE-3831B115B1DC}"/>
  </w:font>
  <w:font w:name="楷体">
    <w:panose1 w:val="02010609060101010101"/>
    <w:charset w:val="86"/>
    <w:family w:val="modern"/>
    <w:pitch w:val="default"/>
    <w:sig w:usb0="800002BF" w:usb1="38CF7CFA" w:usb2="00000016" w:usb3="00000000" w:csb0="00040001" w:csb1="00000000"/>
    <w:embedRegular r:id="rId6" w:fontKey="{A5EFFFB1-9811-4A1B-BAEB-F53EEE1E25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5F9B">
    <w:pPr>
      <w:pStyle w:val="6"/>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C2BE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FC2BE5">
                    <w:pPr>
                      <w:pStyle w:val="6"/>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EDF7">
    <w:pPr>
      <w:pStyle w:val="6"/>
    </w:pPr>
    <w:r>
      <mc:AlternateContent>
        <mc:Choice Requires="wps">
          <w:drawing>
            <wp:anchor distT="0" distB="0" distL="114300" distR="114300" simplePos="0" relativeHeight="251659264" behindDoc="0" locked="0" layoutInCell="1" allowOverlap="1">
              <wp:simplePos x="0" y="0"/>
              <wp:positionH relativeFrom="margin">
                <wp:posOffset>4654550</wp:posOffset>
              </wp:positionH>
              <wp:positionV relativeFrom="paragraph">
                <wp:posOffset>-68580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F0E73">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5.4pt;height:144pt;width:144pt;mso-position-horizontal-relative:margin;mso-wrap-style:none;z-index:251659264;mso-width-relative:page;mso-height-relative:page;" filled="f" stroked="f" coordsize="21600,21600" o:gfxdata="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YR2+NgAAAAMAQAADwAAAAAAAAABACAAAAAiAAAAZHJzL2Rvd25yZXYueG1sUEsBAhQA&#10;FAAAAAgAh07iQEm63mMrAgAAVwQAAA4AAAAAAAAAAQAgAAAAJwEAAGRycy9lMm9Eb2MueG1sUEsF&#10;BgAAAAAGAAYAWQEAAMQFAAAAAA==&#10;">
              <v:fill on="f" focussize="0,0"/>
              <v:stroke on="f" weight="0.5pt"/>
              <v:imagedata o:title=""/>
              <o:lock v:ext="edit" aspectratio="f"/>
              <v:textbox inset="0mm,0mm,0mm,0mm" style="mso-fit-shape-to-text:t;">
                <w:txbxContent>
                  <w:p w14:paraId="3A4F0E73">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6E3F2">
    <w:pPr>
      <w:pStyle w:val="6"/>
    </w:pPr>
    <w:r>
      <mc:AlternateContent>
        <mc:Choice Requires="wps">
          <w:drawing>
            <wp:anchor distT="0" distB="0" distL="114300" distR="114300" simplePos="0" relativeHeight="251660288" behindDoc="0" locked="0" layoutInCell="1" allowOverlap="1">
              <wp:simplePos x="0" y="0"/>
              <wp:positionH relativeFrom="margin">
                <wp:posOffset>6350</wp:posOffset>
              </wp:positionH>
              <wp:positionV relativeFrom="paragraph">
                <wp:posOffset>-83820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FF15F">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0.5pt;margin-top:-6.6pt;height:144pt;width:144pt;mso-position-horizontal-relative:margin;mso-wrap-style:none;z-index:251660288;mso-width-relative:page;mso-height-relative:page;" filled="f" stroked="f" coordsize="21600,21600" o:gfxdata="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c3Vz1gAAAAkBAAAPAAAAAAAAAAEAIAAAACIAAABkcnMvZG93bnJldi54bWxQSwECFAAU&#10;AAAACACHTuJA4feNIywCAABXBAAADgAAAAAAAAABACAAAAAlAQAAZHJzL2Uyb0RvYy54bWxQSwUG&#10;AAAAAAYABgBZAQAAwwUAAAAA&#10;">
              <v:fill on="f" focussize="0,0"/>
              <v:stroke on="f" weight="0.5pt"/>
              <v:imagedata o:title=""/>
              <o:lock v:ext="edit" aspectratio="f"/>
              <v:textbox inset="0mm,0mm,0mm,0mm" style="mso-fit-shape-to-text:t;">
                <w:txbxContent>
                  <w:p w14:paraId="6B4FF15F">
                    <w:pPr>
                      <w:pStyle w:val="6"/>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yOWUxMjIyNmMzNmNmMzhjOGU0ZTQ0NzBiY2U5YTEifQ=="/>
  </w:docVars>
  <w:rsids>
    <w:rsidRoot w:val="00B54FA4"/>
    <w:rsid w:val="00000438"/>
    <w:rsid w:val="00007C10"/>
    <w:rsid w:val="00031C79"/>
    <w:rsid w:val="00037E93"/>
    <w:rsid w:val="0004046A"/>
    <w:rsid w:val="00041509"/>
    <w:rsid w:val="0004211C"/>
    <w:rsid w:val="000529AD"/>
    <w:rsid w:val="000738A3"/>
    <w:rsid w:val="00073FAC"/>
    <w:rsid w:val="0008195B"/>
    <w:rsid w:val="000A0310"/>
    <w:rsid w:val="000A0F94"/>
    <w:rsid w:val="000A26C4"/>
    <w:rsid w:val="000B5801"/>
    <w:rsid w:val="000C18FF"/>
    <w:rsid w:val="000C35BE"/>
    <w:rsid w:val="000D0654"/>
    <w:rsid w:val="000F2F6B"/>
    <w:rsid w:val="000F6997"/>
    <w:rsid w:val="001018DB"/>
    <w:rsid w:val="00150260"/>
    <w:rsid w:val="00153516"/>
    <w:rsid w:val="001546B9"/>
    <w:rsid w:val="00160FAF"/>
    <w:rsid w:val="00173DCF"/>
    <w:rsid w:val="001A1978"/>
    <w:rsid w:val="001A4A3D"/>
    <w:rsid w:val="001B480F"/>
    <w:rsid w:val="001B48C6"/>
    <w:rsid w:val="001B7C81"/>
    <w:rsid w:val="001C03A3"/>
    <w:rsid w:val="001C14AE"/>
    <w:rsid w:val="001C6D63"/>
    <w:rsid w:val="001D09D6"/>
    <w:rsid w:val="001D2B5D"/>
    <w:rsid w:val="001E6A25"/>
    <w:rsid w:val="001E7C0A"/>
    <w:rsid w:val="001F1E16"/>
    <w:rsid w:val="001F2BAF"/>
    <w:rsid w:val="00200368"/>
    <w:rsid w:val="00211176"/>
    <w:rsid w:val="00211D02"/>
    <w:rsid w:val="00212D3B"/>
    <w:rsid w:val="00213156"/>
    <w:rsid w:val="00221288"/>
    <w:rsid w:val="002232C4"/>
    <w:rsid w:val="0023233B"/>
    <w:rsid w:val="00234D60"/>
    <w:rsid w:val="00247651"/>
    <w:rsid w:val="002552C7"/>
    <w:rsid w:val="00256D28"/>
    <w:rsid w:val="002579A3"/>
    <w:rsid w:val="00260E8E"/>
    <w:rsid w:val="00265C47"/>
    <w:rsid w:val="0026700E"/>
    <w:rsid w:val="002735B8"/>
    <w:rsid w:val="00276C6D"/>
    <w:rsid w:val="00283008"/>
    <w:rsid w:val="00294F19"/>
    <w:rsid w:val="00297F6D"/>
    <w:rsid w:val="002A38D2"/>
    <w:rsid w:val="002B64C0"/>
    <w:rsid w:val="002B782D"/>
    <w:rsid w:val="002B7CAE"/>
    <w:rsid w:val="002C1188"/>
    <w:rsid w:val="002C17A2"/>
    <w:rsid w:val="002D45B2"/>
    <w:rsid w:val="002D6D92"/>
    <w:rsid w:val="002D759B"/>
    <w:rsid w:val="002E2B70"/>
    <w:rsid w:val="002E41D7"/>
    <w:rsid w:val="002E600D"/>
    <w:rsid w:val="002E661C"/>
    <w:rsid w:val="002E6EBD"/>
    <w:rsid w:val="002E7E4C"/>
    <w:rsid w:val="002F77F6"/>
    <w:rsid w:val="003037FA"/>
    <w:rsid w:val="003111A6"/>
    <w:rsid w:val="00312D50"/>
    <w:rsid w:val="00314525"/>
    <w:rsid w:val="003154B0"/>
    <w:rsid w:val="00323A6A"/>
    <w:rsid w:val="00324B1C"/>
    <w:rsid w:val="00335A1B"/>
    <w:rsid w:val="00337CE0"/>
    <w:rsid w:val="00342023"/>
    <w:rsid w:val="00361B76"/>
    <w:rsid w:val="003627F2"/>
    <w:rsid w:val="00363728"/>
    <w:rsid w:val="003852F3"/>
    <w:rsid w:val="00392B11"/>
    <w:rsid w:val="00393A70"/>
    <w:rsid w:val="003B0EB5"/>
    <w:rsid w:val="003B6D8C"/>
    <w:rsid w:val="003C70A9"/>
    <w:rsid w:val="003C73AD"/>
    <w:rsid w:val="003D31C0"/>
    <w:rsid w:val="003E53E7"/>
    <w:rsid w:val="003E5B74"/>
    <w:rsid w:val="003F0F32"/>
    <w:rsid w:val="0041095A"/>
    <w:rsid w:val="00423305"/>
    <w:rsid w:val="004242ED"/>
    <w:rsid w:val="00432168"/>
    <w:rsid w:val="00432458"/>
    <w:rsid w:val="00436211"/>
    <w:rsid w:val="0044320B"/>
    <w:rsid w:val="00446F61"/>
    <w:rsid w:val="0047004D"/>
    <w:rsid w:val="0047543D"/>
    <w:rsid w:val="004804CC"/>
    <w:rsid w:val="00486990"/>
    <w:rsid w:val="00493DFA"/>
    <w:rsid w:val="004951A5"/>
    <w:rsid w:val="004A783A"/>
    <w:rsid w:val="004B1F17"/>
    <w:rsid w:val="004B5BA5"/>
    <w:rsid w:val="004B6277"/>
    <w:rsid w:val="004B7B1C"/>
    <w:rsid w:val="004C0DAB"/>
    <w:rsid w:val="004C4316"/>
    <w:rsid w:val="004D044E"/>
    <w:rsid w:val="004D09BB"/>
    <w:rsid w:val="004D6795"/>
    <w:rsid w:val="004E0FF5"/>
    <w:rsid w:val="004F029C"/>
    <w:rsid w:val="004F3253"/>
    <w:rsid w:val="004F3681"/>
    <w:rsid w:val="004F42E3"/>
    <w:rsid w:val="00500E60"/>
    <w:rsid w:val="00502623"/>
    <w:rsid w:val="00502655"/>
    <w:rsid w:val="00512784"/>
    <w:rsid w:val="00513BFF"/>
    <w:rsid w:val="005177DF"/>
    <w:rsid w:val="00517903"/>
    <w:rsid w:val="0052201A"/>
    <w:rsid w:val="00527492"/>
    <w:rsid w:val="00530B73"/>
    <w:rsid w:val="0053297E"/>
    <w:rsid w:val="00541922"/>
    <w:rsid w:val="005461F6"/>
    <w:rsid w:val="00550D8F"/>
    <w:rsid w:val="005511F7"/>
    <w:rsid w:val="00552C3F"/>
    <w:rsid w:val="00552D15"/>
    <w:rsid w:val="00553C52"/>
    <w:rsid w:val="005629CD"/>
    <w:rsid w:val="005741E2"/>
    <w:rsid w:val="00575983"/>
    <w:rsid w:val="00586E6F"/>
    <w:rsid w:val="00594897"/>
    <w:rsid w:val="00595643"/>
    <w:rsid w:val="00596CDB"/>
    <w:rsid w:val="0059713E"/>
    <w:rsid w:val="005B5C6D"/>
    <w:rsid w:val="005C0729"/>
    <w:rsid w:val="005D1ACC"/>
    <w:rsid w:val="005D1FC5"/>
    <w:rsid w:val="005D458E"/>
    <w:rsid w:val="005E5C38"/>
    <w:rsid w:val="005F59A5"/>
    <w:rsid w:val="005F764F"/>
    <w:rsid w:val="006017A8"/>
    <w:rsid w:val="00603E50"/>
    <w:rsid w:val="006051D2"/>
    <w:rsid w:val="00615BF6"/>
    <w:rsid w:val="00622707"/>
    <w:rsid w:val="006269E4"/>
    <w:rsid w:val="006333AD"/>
    <w:rsid w:val="006579F0"/>
    <w:rsid w:val="006621C8"/>
    <w:rsid w:val="00666B69"/>
    <w:rsid w:val="00676732"/>
    <w:rsid w:val="006841EA"/>
    <w:rsid w:val="00686D8B"/>
    <w:rsid w:val="0069416F"/>
    <w:rsid w:val="006A121B"/>
    <w:rsid w:val="006B100D"/>
    <w:rsid w:val="006B2467"/>
    <w:rsid w:val="006D51B1"/>
    <w:rsid w:val="006E026C"/>
    <w:rsid w:val="006F04E0"/>
    <w:rsid w:val="006F3C15"/>
    <w:rsid w:val="006F68EE"/>
    <w:rsid w:val="00706726"/>
    <w:rsid w:val="00715F8E"/>
    <w:rsid w:val="007171C6"/>
    <w:rsid w:val="00717359"/>
    <w:rsid w:val="007371E5"/>
    <w:rsid w:val="0074273D"/>
    <w:rsid w:val="00750B5E"/>
    <w:rsid w:val="00757036"/>
    <w:rsid w:val="00762849"/>
    <w:rsid w:val="00764C5A"/>
    <w:rsid w:val="007724CB"/>
    <w:rsid w:val="00773708"/>
    <w:rsid w:val="0077625F"/>
    <w:rsid w:val="00777038"/>
    <w:rsid w:val="00783CBA"/>
    <w:rsid w:val="00786C4D"/>
    <w:rsid w:val="00790AF5"/>
    <w:rsid w:val="00797464"/>
    <w:rsid w:val="00797C99"/>
    <w:rsid w:val="007A006C"/>
    <w:rsid w:val="007A3CA0"/>
    <w:rsid w:val="007A3F52"/>
    <w:rsid w:val="007A4CF7"/>
    <w:rsid w:val="007A6670"/>
    <w:rsid w:val="007A7E3E"/>
    <w:rsid w:val="007B14D1"/>
    <w:rsid w:val="007B55EE"/>
    <w:rsid w:val="007C7495"/>
    <w:rsid w:val="007D5488"/>
    <w:rsid w:val="007E3BEB"/>
    <w:rsid w:val="007F66E4"/>
    <w:rsid w:val="007F7800"/>
    <w:rsid w:val="0081357B"/>
    <w:rsid w:val="008218C1"/>
    <w:rsid w:val="00821A81"/>
    <w:rsid w:val="008232FF"/>
    <w:rsid w:val="008426C5"/>
    <w:rsid w:val="0085104D"/>
    <w:rsid w:val="0085301E"/>
    <w:rsid w:val="00862D62"/>
    <w:rsid w:val="0086389D"/>
    <w:rsid w:val="00871369"/>
    <w:rsid w:val="00872840"/>
    <w:rsid w:val="008763F0"/>
    <w:rsid w:val="00877F6C"/>
    <w:rsid w:val="00893EE4"/>
    <w:rsid w:val="008958F5"/>
    <w:rsid w:val="008A4D85"/>
    <w:rsid w:val="008B2598"/>
    <w:rsid w:val="008B4B50"/>
    <w:rsid w:val="008B5613"/>
    <w:rsid w:val="008C114D"/>
    <w:rsid w:val="008D2580"/>
    <w:rsid w:val="008D51EC"/>
    <w:rsid w:val="008D6269"/>
    <w:rsid w:val="00904118"/>
    <w:rsid w:val="00905B76"/>
    <w:rsid w:val="00905D20"/>
    <w:rsid w:val="00907288"/>
    <w:rsid w:val="00921E9A"/>
    <w:rsid w:val="00926CD2"/>
    <w:rsid w:val="009305CB"/>
    <w:rsid w:val="00931E95"/>
    <w:rsid w:val="009432B0"/>
    <w:rsid w:val="009514B1"/>
    <w:rsid w:val="0095596D"/>
    <w:rsid w:val="00967E3D"/>
    <w:rsid w:val="009776AF"/>
    <w:rsid w:val="00977AC5"/>
    <w:rsid w:val="009831B7"/>
    <w:rsid w:val="009911DA"/>
    <w:rsid w:val="00992098"/>
    <w:rsid w:val="00995CFF"/>
    <w:rsid w:val="00996ED8"/>
    <w:rsid w:val="009B3BA6"/>
    <w:rsid w:val="009C1532"/>
    <w:rsid w:val="009C297C"/>
    <w:rsid w:val="009C392A"/>
    <w:rsid w:val="009C43EC"/>
    <w:rsid w:val="009E5BA6"/>
    <w:rsid w:val="009F11EF"/>
    <w:rsid w:val="009F3033"/>
    <w:rsid w:val="009F5D3B"/>
    <w:rsid w:val="009F79D1"/>
    <w:rsid w:val="00A057B9"/>
    <w:rsid w:val="00A1054E"/>
    <w:rsid w:val="00A11C0B"/>
    <w:rsid w:val="00A13E21"/>
    <w:rsid w:val="00A15200"/>
    <w:rsid w:val="00A2011C"/>
    <w:rsid w:val="00A25296"/>
    <w:rsid w:val="00A2707D"/>
    <w:rsid w:val="00A27AF9"/>
    <w:rsid w:val="00A37771"/>
    <w:rsid w:val="00A5020C"/>
    <w:rsid w:val="00A5204A"/>
    <w:rsid w:val="00A54BB5"/>
    <w:rsid w:val="00A6221A"/>
    <w:rsid w:val="00A62A43"/>
    <w:rsid w:val="00A745B5"/>
    <w:rsid w:val="00A749A6"/>
    <w:rsid w:val="00A77E8A"/>
    <w:rsid w:val="00A83BDF"/>
    <w:rsid w:val="00A860DA"/>
    <w:rsid w:val="00A87185"/>
    <w:rsid w:val="00A87B65"/>
    <w:rsid w:val="00A95C34"/>
    <w:rsid w:val="00A96247"/>
    <w:rsid w:val="00AB3700"/>
    <w:rsid w:val="00AB466C"/>
    <w:rsid w:val="00AB5FCD"/>
    <w:rsid w:val="00AB7A93"/>
    <w:rsid w:val="00AE1EAA"/>
    <w:rsid w:val="00AE7157"/>
    <w:rsid w:val="00AF41D4"/>
    <w:rsid w:val="00B00ABB"/>
    <w:rsid w:val="00B012FD"/>
    <w:rsid w:val="00B07554"/>
    <w:rsid w:val="00B126CB"/>
    <w:rsid w:val="00B20D82"/>
    <w:rsid w:val="00B27E08"/>
    <w:rsid w:val="00B379EE"/>
    <w:rsid w:val="00B45194"/>
    <w:rsid w:val="00B47167"/>
    <w:rsid w:val="00B50238"/>
    <w:rsid w:val="00B54193"/>
    <w:rsid w:val="00B54FA4"/>
    <w:rsid w:val="00B54FA6"/>
    <w:rsid w:val="00B56564"/>
    <w:rsid w:val="00B77EDD"/>
    <w:rsid w:val="00B8707E"/>
    <w:rsid w:val="00B916BB"/>
    <w:rsid w:val="00B91768"/>
    <w:rsid w:val="00B92181"/>
    <w:rsid w:val="00B97D01"/>
    <w:rsid w:val="00BA3CB0"/>
    <w:rsid w:val="00BB5BF1"/>
    <w:rsid w:val="00BB71EC"/>
    <w:rsid w:val="00BC6B8D"/>
    <w:rsid w:val="00BD6B7B"/>
    <w:rsid w:val="00BE2613"/>
    <w:rsid w:val="00BE5CD8"/>
    <w:rsid w:val="00BF0062"/>
    <w:rsid w:val="00C00931"/>
    <w:rsid w:val="00C010A1"/>
    <w:rsid w:val="00C013B3"/>
    <w:rsid w:val="00C01DC5"/>
    <w:rsid w:val="00C047E6"/>
    <w:rsid w:val="00C04830"/>
    <w:rsid w:val="00C06E97"/>
    <w:rsid w:val="00C103BD"/>
    <w:rsid w:val="00C20CCE"/>
    <w:rsid w:val="00C218D9"/>
    <w:rsid w:val="00C26A6B"/>
    <w:rsid w:val="00C371AF"/>
    <w:rsid w:val="00C42555"/>
    <w:rsid w:val="00C4477D"/>
    <w:rsid w:val="00C46F67"/>
    <w:rsid w:val="00C514FC"/>
    <w:rsid w:val="00C65DA7"/>
    <w:rsid w:val="00C67B98"/>
    <w:rsid w:val="00C76D8C"/>
    <w:rsid w:val="00C8147A"/>
    <w:rsid w:val="00C82E5E"/>
    <w:rsid w:val="00C8492F"/>
    <w:rsid w:val="00C95017"/>
    <w:rsid w:val="00C95438"/>
    <w:rsid w:val="00CA2551"/>
    <w:rsid w:val="00CB5A10"/>
    <w:rsid w:val="00CB7945"/>
    <w:rsid w:val="00CD4310"/>
    <w:rsid w:val="00CD5EB3"/>
    <w:rsid w:val="00CD74FB"/>
    <w:rsid w:val="00CE4AE2"/>
    <w:rsid w:val="00D00948"/>
    <w:rsid w:val="00D02C59"/>
    <w:rsid w:val="00D1266A"/>
    <w:rsid w:val="00D12FE7"/>
    <w:rsid w:val="00D13827"/>
    <w:rsid w:val="00D14556"/>
    <w:rsid w:val="00D14F4E"/>
    <w:rsid w:val="00D51D18"/>
    <w:rsid w:val="00D542A1"/>
    <w:rsid w:val="00D64CA0"/>
    <w:rsid w:val="00D71FA7"/>
    <w:rsid w:val="00D755BF"/>
    <w:rsid w:val="00D87185"/>
    <w:rsid w:val="00DA0B70"/>
    <w:rsid w:val="00DB061A"/>
    <w:rsid w:val="00DB0CB9"/>
    <w:rsid w:val="00DB2D27"/>
    <w:rsid w:val="00DB6C0F"/>
    <w:rsid w:val="00DC1862"/>
    <w:rsid w:val="00DC3B44"/>
    <w:rsid w:val="00DD05BE"/>
    <w:rsid w:val="00DE4DE4"/>
    <w:rsid w:val="00DF0070"/>
    <w:rsid w:val="00DF1857"/>
    <w:rsid w:val="00DF54F1"/>
    <w:rsid w:val="00E15D71"/>
    <w:rsid w:val="00E249DD"/>
    <w:rsid w:val="00E3071D"/>
    <w:rsid w:val="00E322D9"/>
    <w:rsid w:val="00E41E13"/>
    <w:rsid w:val="00E46C2C"/>
    <w:rsid w:val="00E535C4"/>
    <w:rsid w:val="00E56068"/>
    <w:rsid w:val="00E57CCE"/>
    <w:rsid w:val="00E649F9"/>
    <w:rsid w:val="00E663A5"/>
    <w:rsid w:val="00E71C47"/>
    <w:rsid w:val="00E855F2"/>
    <w:rsid w:val="00E91613"/>
    <w:rsid w:val="00E92067"/>
    <w:rsid w:val="00EA053D"/>
    <w:rsid w:val="00EA1AF7"/>
    <w:rsid w:val="00EA45D2"/>
    <w:rsid w:val="00EA6698"/>
    <w:rsid w:val="00EA6D96"/>
    <w:rsid w:val="00EC7631"/>
    <w:rsid w:val="00ED0653"/>
    <w:rsid w:val="00ED17C4"/>
    <w:rsid w:val="00ED31EF"/>
    <w:rsid w:val="00ED649C"/>
    <w:rsid w:val="00EE2A2F"/>
    <w:rsid w:val="00EE6D12"/>
    <w:rsid w:val="00F01F5B"/>
    <w:rsid w:val="00F0376C"/>
    <w:rsid w:val="00F3194E"/>
    <w:rsid w:val="00F337A3"/>
    <w:rsid w:val="00F37187"/>
    <w:rsid w:val="00F44038"/>
    <w:rsid w:val="00F519DA"/>
    <w:rsid w:val="00F5202D"/>
    <w:rsid w:val="00F544A3"/>
    <w:rsid w:val="00F66F56"/>
    <w:rsid w:val="00F85888"/>
    <w:rsid w:val="00F87BB1"/>
    <w:rsid w:val="00F925EC"/>
    <w:rsid w:val="00F9555E"/>
    <w:rsid w:val="00FA2C9F"/>
    <w:rsid w:val="00FA7868"/>
    <w:rsid w:val="00FB5086"/>
    <w:rsid w:val="00FC7F42"/>
    <w:rsid w:val="00FD56D0"/>
    <w:rsid w:val="00FF1DB1"/>
    <w:rsid w:val="00FF5B4A"/>
    <w:rsid w:val="00FF6373"/>
    <w:rsid w:val="01094D11"/>
    <w:rsid w:val="02AD7AC3"/>
    <w:rsid w:val="036A59B4"/>
    <w:rsid w:val="037F1038"/>
    <w:rsid w:val="03B64756"/>
    <w:rsid w:val="049A4077"/>
    <w:rsid w:val="049F168E"/>
    <w:rsid w:val="04F33787"/>
    <w:rsid w:val="05882122"/>
    <w:rsid w:val="05C9691D"/>
    <w:rsid w:val="06565D7C"/>
    <w:rsid w:val="06707ABE"/>
    <w:rsid w:val="07520C39"/>
    <w:rsid w:val="07860FE4"/>
    <w:rsid w:val="07B471FE"/>
    <w:rsid w:val="08153021"/>
    <w:rsid w:val="08273D5C"/>
    <w:rsid w:val="08E0142B"/>
    <w:rsid w:val="0935436E"/>
    <w:rsid w:val="09B71227"/>
    <w:rsid w:val="0A8E435F"/>
    <w:rsid w:val="0AFD710E"/>
    <w:rsid w:val="0BA31A63"/>
    <w:rsid w:val="0BE470A9"/>
    <w:rsid w:val="0BF277E3"/>
    <w:rsid w:val="0C290B3C"/>
    <w:rsid w:val="0C4A0131"/>
    <w:rsid w:val="0C4F6872"/>
    <w:rsid w:val="0C807FF6"/>
    <w:rsid w:val="0D0745C7"/>
    <w:rsid w:val="0D2C62D8"/>
    <w:rsid w:val="0D3861DB"/>
    <w:rsid w:val="0D3C216F"/>
    <w:rsid w:val="0D7511DD"/>
    <w:rsid w:val="0D755681"/>
    <w:rsid w:val="0DC108C7"/>
    <w:rsid w:val="0E043562"/>
    <w:rsid w:val="0E3E3CC5"/>
    <w:rsid w:val="0E695626"/>
    <w:rsid w:val="0F1B6CD0"/>
    <w:rsid w:val="0F53597F"/>
    <w:rsid w:val="0F797A29"/>
    <w:rsid w:val="0F8472AC"/>
    <w:rsid w:val="0FC621C4"/>
    <w:rsid w:val="10266B06"/>
    <w:rsid w:val="10297228"/>
    <w:rsid w:val="105552F6"/>
    <w:rsid w:val="112C42A9"/>
    <w:rsid w:val="11A656D2"/>
    <w:rsid w:val="11C529F0"/>
    <w:rsid w:val="133631BD"/>
    <w:rsid w:val="137F1BBC"/>
    <w:rsid w:val="13A2286C"/>
    <w:rsid w:val="144A2102"/>
    <w:rsid w:val="144D6A10"/>
    <w:rsid w:val="145C30F7"/>
    <w:rsid w:val="1537321C"/>
    <w:rsid w:val="16A448E1"/>
    <w:rsid w:val="16E6314C"/>
    <w:rsid w:val="16E80C72"/>
    <w:rsid w:val="16F47617"/>
    <w:rsid w:val="171F0710"/>
    <w:rsid w:val="17424826"/>
    <w:rsid w:val="175956CC"/>
    <w:rsid w:val="17650515"/>
    <w:rsid w:val="176B052A"/>
    <w:rsid w:val="177469AA"/>
    <w:rsid w:val="17B62B1E"/>
    <w:rsid w:val="17CF598E"/>
    <w:rsid w:val="1860792E"/>
    <w:rsid w:val="18F6C5E9"/>
    <w:rsid w:val="19191C06"/>
    <w:rsid w:val="19306900"/>
    <w:rsid w:val="19595E57"/>
    <w:rsid w:val="19E27BFB"/>
    <w:rsid w:val="1A204BC7"/>
    <w:rsid w:val="1AC90DBB"/>
    <w:rsid w:val="1AD734D7"/>
    <w:rsid w:val="1B267FBB"/>
    <w:rsid w:val="1B9726CB"/>
    <w:rsid w:val="1C24274C"/>
    <w:rsid w:val="1C7B46E1"/>
    <w:rsid w:val="1D390987"/>
    <w:rsid w:val="1D4E37F9"/>
    <w:rsid w:val="1EBF675C"/>
    <w:rsid w:val="1EE77A61"/>
    <w:rsid w:val="1F5822FF"/>
    <w:rsid w:val="1FEF0A72"/>
    <w:rsid w:val="201E74B3"/>
    <w:rsid w:val="204300ED"/>
    <w:rsid w:val="206051B5"/>
    <w:rsid w:val="20CF4C51"/>
    <w:rsid w:val="21720163"/>
    <w:rsid w:val="21763D46"/>
    <w:rsid w:val="222A359C"/>
    <w:rsid w:val="226822FE"/>
    <w:rsid w:val="2297354C"/>
    <w:rsid w:val="22AF7C79"/>
    <w:rsid w:val="23531B69"/>
    <w:rsid w:val="240864B0"/>
    <w:rsid w:val="247022A7"/>
    <w:rsid w:val="24B345B9"/>
    <w:rsid w:val="24C42EE0"/>
    <w:rsid w:val="26244079"/>
    <w:rsid w:val="27812657"/>
    <w:rsid w:val="27A02EA3"/>
    <w:rsid w:val="27B8643F"/>
    <w:rsid w:val="27BD1CA7"/>
    <w:rsid w:val="28341F69"/>
    <w:rsid w:val="286B525F"/>
    <w:rsid w:val="287C56BE"/>
    <w:rsid w:val="288E0503"/>
    <w:rsid w:val="28FE2525"/>
    <w:rsid w:val="290C07F0"/>
    <w:rsid w:val="29244CA4"/>
    <w:rsid w:val="293164A9"/>
    <w:rsid w:val="296561E3"/>
    <w:rsid w:val="29A44ECD"/>
    <w:rsid w:val="29C73656"/>
    <w:rsid w:val="29FF65A7"/>
    <w:rsid w:val="2B7E6723"/>
    <w:rsid w:val="2BD31A99"/>
    <w:rsid w:val="2BDA00B9"/>
    <w:rsid w:val="2BDFD089"/>
    <w:rsid w:val="2C0C0B07"/>
    <w:rsid w:val="2C2440A3"/>
    <w:rsid w:val="2C4E1120"/>
    <w:rsid w:val="2C9D249A"/>
    <w:rsid w:val="2CD8457F"/>
    <w:rsid w:val="2D8868B3"/>
    <w:rsid w:val="2DD747E5"/>
    <w:rsid w:val="2DFB52D7"/>
    <w:rsid w:val="2E9A689E"/>
    <w:rsid w:val="2EAC70DE"/>
    <w:rsid w:val="2EC658E5"/>
    <w:rsid w:val="2FC8743B"/>
    <w:rsid w:val="30A47560"/>
    <w:rsid w:val="30FD526E"/>
    <w:rsid w:val="31BB30A3"/>
    <w:rsid w:val="31CF5374"/>
    <w:rsid w:val="31DE4CF4"/>
    <w:rsid w:val="3264169D"/>
    <w:rsid w:val="332E3848"/>
    <w:rsid w:val="336A2CE3"/>
    <w:rsid w:val="338806E6"/>
    <w:rsid w:val="33D44600"/>
    <w:rsid w:val="341D61C9"/>
    <w:rsid w:val="344D353C"/>
    <w:rsid w:val="34B82A8C"/>
    <w:rsid w:val="34E51A5F"/>
    <w:rsid w:val="35066A3B"/>
    <w:rsid w:val="35611EC4"/>
    <w:rsid w:val="35A95619"/>
    <w:rsid w:val="35AC539D"/>
    <w:rsid w:val="35B16640"/>
    <w:rsid w:val="35CF3ED2"/>
    <w:rsid w:val="3619454C"/>
    <w:rsid w:val="366F3577"/>
    <w:rsid w:val="367F4CF7"/>
    <w:rsid w:val="36B21AE0"/>
    <w:rsid w:val="36D13079"/>
    <w:rsid w:val="375515B4"/>
    <w:rsid w:val="388C36FB"/>
    <w:rsid w:val="39620376"/>
    <w:rsid w:val="3980739E"/>
    <w:rsid w:val="39A60C1D"/>
    <w:rsid w:val="39AA6B1B"/>
    <w:rsid w:val="3A331955"/>
    <w:rsid w:val="3A606BEE"/>
    <w:rsid w:val="3ABF1BDC"/>
    <w:rsid w:val="3B4B1072"/>
    <w:rsid w:val="3B9B49E8"/>
    <w:rsid w:val="3BC31AFA"/>
    <w:rsid w:val="3BDF3B42"/>
    <w:rsid w:val="3C243C4B"/>
    <w:rsid w:val="3C2B7925"/>
    <w:rsid w:val="3C8828C7"/>
    <w:rsid w:val="3C9C5ED7"/>
    <w:rsid w:val="3D3A7C13"/>
    <w:rsid w:val="3D9170BE"/>
    <w:rsid w:val="3DA05553"/>
    <w:rsid w:val="3DC70D32"/>
    <w:rsid w:val="3DE96EFA"/>
    <w:rsid w:val="3DFF75A2"/>
    <w:rsid w:val="3E8804C1"/>
    <w:rsid w:val="3EB70DA6"/>
    <w:rsid w:val="3EDE4585"/>
    <w:rsid w:val="3F7F8A16"/>
    <w:rsid w:val="3FEF2A7C"/>
    <w:rsid w:val="3FF4E717"/>
    <w:rsid w:val="3FFBF783"/>
    <w:rsid w:val="40730CFD"/>
    <w:rsid w:val="4093314D"/>
    <w:rsid w:val="40B76E3C"/>
    <w:rsid w:val="40EA5463"/>
    <w:rsid w:val="417D7544"/>
    <w:rsid w:val="428E0070"/>
    <w:rsid w:val="42B94406"/>
    <w:rsid w:val="43741014"/>
    <w:rsid w:val="43C71A8C"/>
    <w:rsid w:val="44056110"/>
    <w:rsid w:val="448E723D"/>
    <w:rsid w:val="44914EE4"/>
    <w:rsid w:val="449753BF"/>
    <w:rsid w:val="44FF7003"/>
    <w:rsid w:val="45A75961"/>
    <w:rsid w:val="45E462DA"/>
    <w:rsid w:val="45F11042"/>
    <w:rsid w:val="462211FB"/>
    <w:rsid w:val="462F7833"/>
    <w:rsid w:val="46D842C4"/>
    <w:rsid w:val="47C463CB"/>
    <w:rsid w:val="48111527"/>
    <w:rsid w:val="481334F1"/>
    <w:rsid w:val="48147269"/>
    <w:rsid w:val="48201390"/>
    <w:rsid w:val="48790E7B"/>
    <w:rsid w:val="49267254"/>
    <w:rsid w:val="495F2766"/>
    <w:rsid w:val="49707806"/>
    <w:rsid w:val="49890991"/>
    <w:rsid w:val="49FE17FD"/>
    <w:rsid w:val="4A2007B4"/>
    <w:rsid w:val="4A394D65"/>
    <w:rsid w:val="4A606796"/>
    <w:rsid w:val="4AEBDCDC"/>
    <w:rsid w:val="4B335C59"/>
    <w:rsid w:val="4C25217C"/>
    <w:rsid w:val="4C376A6D"/>
    <w:rsid w:val="4C787DC7"/>
    <w:rsid w:val="4C7B1665"/>
    <w:rsid w:val="4CB84E8C"/>
    <w:rsid w:val="4D55429F"/>
    <w:rsid w:val="4E524648"/>
    <w:rsid w:val="4F2C30EB"/>
    <w:rsid w:val="4F8F3A10"/>
    <w:rsid w:val="4FBFADA8"/>
    <w:rsid w:val="4FEF44AF"/>
    <w:rsid w:val="4FF7A1AF"/>
    <w:rsid w:val="505521CD"/>
    <w:rsid w:val="50B04452"/>
    <w:rsid w:val="50BE4216"/>
    <w:rsid w:val="5100038B"/>
    <w:rsid w:val="51497F84"/>
    <w:rsid w:val="5180629F"/>
    <w:rsid w:val="52EC6E19"/>
    <w:rsid w:val="532E665A"/>
    <w:rsid w:val="53334BBD"/>
    <w:rsid w:val="53BA0CC5"/>
    <w:rsid w:val="540463E4"/>
    <w:rsid w:val="540B1521"/>
    <w:rsid w:val="547E6196"/>
    <w:rsid w:val="54F75F49"/>
    <w:rsid w:val="55106439"/>
    <w:rsid w:val="554E2D6F"/>
    <w:rsid w:val="554F368F"/>
    <w:rsid w:val="55D54FCF"/>
    <w:rsid w:val="56521E26"/>
    <w:rsid w:val="56A30136"/>
    <w:rsid w:val="57CA34A1"/>
    <w:rsid w:val="57FF1173"/>
    <w:rsid w:val="587F072F"/>
    <w:rsid w:val="589B7D2A"/>
    <w:rsid w:val="58A76131"/>
    <w:rsid w:val="58E95BA9"/>
    <w:rsid w:val="59B85CA7"/>
    <w:rsid w:val="59BA0B35"/>
    <w:rsid w:val="59C503C4"/>
    <w:rsid w:val="59F44805"/>
    <w:rsid w:val="5A5A0B0C"/>
    <w:rsid w:val="5AA7161B"/>
    <w:rsid w:val="5AF7FCB8"/>
    <w:rsid w:val="5BFB2FA0"/>
    <w:rsid w:val="5C5F65B7"/>
    <w:rsid w:val="5C8B4F81"/>
    <w:rsid w:val="5D1BFB01"/>
    <w:rsid w:val="5D6B1282"/>
    <w:rsid w:val="5D8F4F70"/>
    <w:rsid w:val="5E071213"/>
    <w:rsid w:val="5E3742C4"/>
    <w:rsid w:val="5E663E7B"/>
    <w:rsid w:val="5EA26F25"/>
    <w:rsid w:val="5EBC7D66"/>
    <w:rsid w:val="5EDF29CF"/>
    <w:rsid w:val="5EEB245D"/>
    <w:rsid w:val="5F49AC5C"/>
    <w:rsid w:val="5F7AECB8"/>
    <w:rsid w:val="5F7E235B"/>
    <w:rsid w:val="5FB6824D"/>
    <w:rsid w:val="5FBC4017"/>
    <w:rsid w:val="5FBEEEE2"/>
    <w:rsid w:val="6010270B"/>
    <w:rsid w:val="60D531BA"/>
    <w:rsid w:val="61812E22"/>
    <w:rsid w:val="61AB7E06"/>
    <w:rsid w:val="623065F6"/>
    <w:rsid w:val="62EC2BEB"/>
    <w:rsid w:val="62F835B8"/>
    <w:rsid w:val="62FB0257"/>
    <w:rsid w:val="634B2982"/>
    <w:rsid w:val="637115A5"/>
    <w:rsid w:val="637F5A87"/>
    <w:rsid w:val="6386611B"/>
    <w:rsid w:val="650A7ED3"/>
    <w:rsid w:val="65442AE4"/>
    <w:rsid w:val="65534AD5"/>
    <w:rsid w:val="6598698C"/>
    <w:rsid w:val="65C9123C"/>
    <w:rsid w:val="65DF89CB"/>
    <w:rsid w:val="66285F62"/>
    <w:rsid w:val="66680A54"/>
    <w:rsid w:val="66883A5A"/>
    <w:rsid w:val="669A1581"/>
    <w:rsid w:val="67656D42"/>
    <w:rsid w:val="676D025A"/>
    <w:rsid w:val="677FAFF9"/>
    <w:rsid w:val="67995354"/>
    <w:rsid w:val="67F1BB04"/>
    <w:rsid w:val="680F5A43"/>
    <w:rsid w:val="68D416C5"/>
    <w:rsid w:val="68E65C61"/>
    <w:rsid w:val="692B4D35"/>
    <w:rsid w:val="696165D2"/>
    <w:rsid w:val="697EB7C1"/>
    <w:rsid w:val="69A134ED"/>
    <w:rsid w:val="69DA3A17"/>
    <w:rsid w:val="6A486BD3"/>
    <w:rsid w:val="6A503CD9"/>
    <w:rsid w:val="6A7412DB"/>
    <w:rsid w:val="6AC66069"/>
    <w:rsid w:val="6AC7BC22"/>
    <w:rsid w:val="6B2018FE"/>
    <w:rsid w:val="6B2A277C"/>
    <w:rsid w:val="6BFA250D"/>
    <w:rsid w:val="6CD56718"/>
    <w:rsid w:val="6CE93F71"/>
    <w:rsid w:val="6CFE5C6F"/>
    <w:rsid w:val="6CFF50B4"/>
    <w:rsid w:val="6D036B0C"/>
    <w:rsid w:val="6D323B6A"/>
    <w:rsid w:val="6E072901"/>
    <w:rsid w:val="6E0C43BB"/>
    <w:rsid w:val="6E1312A6"/>
    <w:rsid w:val="6E5A6ED5"/>
    <w:rsid w:val="6E7686A2"/>
    <w:rsid w:val="6EB505AF"/>
    <w:rsid w:val="6EEF3CC8"/>
    <w:rsid w:val="6EF74724"/>
    <w:rsid w:val="6F7C3A2A"/>
    <w:rsid w:val="6F7F265D"/>
    <w:rsid w:val="6FB203BD"/>
    <w:rsid w:val="6FB28BBD"/>
    <w:rsid w:val="6FB848AD"/>
    <w:rsid w:val="6FED407D"/>
    <w:rsid w:val="6FFFAE8D"/>
    <w:rsid w:val="6FFFC2D5"/>
    <w:rsid w:val="705A7660"/>
    <w:rsid w:val="70A46B2D"/>
    <w:rsid w:val="70A628A5"/>
    <w:rsid w:val="70C40F7D"/>
    <w:rsid w:val="70C76713"/>
    <w:rsid w:val="714479C8"/>
    <w:rsid w:val="71F4319C"/>
    <w:rsid w:val="72053ED2"/>
    <w:rsid w:val="721970A7"/>
    <w:rsid w:val="724E4C56"/>
    <w:rsid w:val="72A53BF3"/>
    <w:rsid w:val="72E75ACF"/>
    <w:rsid w:val="73465C7A"/>
    <w:rsid w:val="73467A28"/>
    <w:rsid w:val="73FFC3F0"/>
    <w:rsid w:val="741C69DA"/>
    <w:rsid w:val="745E48A2"/>
    <w:rsid w:val="74FDC0ED"/>
    <w:rsid w:val="750D4DC6"/>
    <w:rsid w:val="750E6C6B"/>
    <w:rsid w:val="75734D20"/>
    <w:rsid w:val="75D752AF"/>
    <w:rsid w:val="761402B1"/>
    <w:rsid w:val="76515061"/>
    <w:rsid w:val="767FA4CA"/>
    <w:rsid w:val="769C5AF2"/>
    <w:rsid w:val="76AE6010"/>
    <w:rsid w:val="76D3350E"/>
    <w:rsid w:val="77065E4C"/>
    <w:rsid w:val="77400C32"/>
    <w:rsid w:val="776F1352"/>
    <w:rsid w:val="779F46D8"/>
    <w:rsid w:val="77BE6726"/>
    <w:rsid w:val="77D6644A"/>
    <w:rsid w:val="782D6ECE"/>
    <w:rsid w:val="7896198A"/>
    <w:rsid w:val="78CC4062"/>
    <w:rsid w:val="78DE6C58"/>
    <w:rsid w:val="790740FD"/>
    <w:rsid w:val="792316FC"/>
    <w:rsid w:val="793FDFCA"/>
    <w:rsid w:val="79532E9E"/>
    <w:rsid w:val="7962758B"/>
    <w:rsid w:val="79876FEC"/>
    <w:rsid w:val="79A354D9"/>
    <w:rsid w:val="7A85352B"/>
    <w:rsid w:val="7B30793B"/>
    <w:rsid w:val="7B9D6653"/>
    <w:rsid w:val="7BA06143"/>
    <w:rsid w:val="7BEC1388"/>
    <w:rsid w:val="7C036DFE"/>
    <w:rsid w:val="7C174418"/>
    <w:rsid w:val="7C2C27A1"/>
    <w:rsid w:val="7C927221"/>
    <w:rsid w:val="7D050953"/>
    <w:rsid w:val="7D147CE0"/>
    <w:rsid w:val="7D3E7C81"/>
    <w:rsid w:val="7D4C6582"/>
    <w:rsid w:val="7D5176F5"/>
    <w:rsid w:val="7D5B0573"/>
    <w:rsid w:val="7D730567"/>
    <w:rsid w:val="7DDFFAC0"/>
    <w:rsid w:val="7EB34139"/>
    <w:rsid w:val="7EB50157"/>
    <w:rsid w:val="7EC10E0D"/>
    <w:rsid w:val="7EF0118F"/>
    <w:rsid w:val="7F3FE8CF"/>
    <w:rsid w:val="7F4F8521"/>
    <w:rsid w:val="7F4FD62E"/>
    <w:rsid w:val="7F623E3B"/>
    <w:rsid w:val="7F77CC00"/>
    <w:rsid w:val="7F7F6DA7"/>
    <w:rsid w:val="7F7FEF7E"/>
    <w:rsid w:val="7F7FFA40"/>
    <w:rsid w:val="7F820039"/>
    <w:rsid w:val="7FBBB5D9"/>
    <w:rsid w:val="7FD36AE7"/>
    <w:rsid w:val="7FF7C26F"/>
    <w:rsid w:val="7FFF204B"/>
    <w:rsid w:val="7FFF2CDD"/>
    <w:rsid w:val="7FFFC000"/>
    <w:rsid w:val="8E7EBFBF"/>
    <w:rsid w:val="8FE30324"/>
    <w:rsid w:val="997E2EF4"/>
    <w:rsid w:val="9DFA08B5"/>
    <w:rsid w:val="9EBE0AA8"/>
    <w:rsid w:val="AAE7A993"/>
    <w:rsid w:val="AFBF9A89"/>
    <w:rsid w:val="AFFE3E23"/>
    <w:rsid w:val="B3ED15FD"/>
    <w:rsid w:val="B5BFF54F"/>
    <w:rsid w:val="B5EF0091"/>
    <w:rsid w:val="B76239B8"/>
    <w:rsid w:val="BC7F0550"/>
    <w:rsid w:val="BCA930D1"/>
    <w:rsid w:val="BDDF0196"/>
    <w:rsid w:val="BDFD900D"/>
    <w:rsid w:val="BEE61F23"/>
    <w:rsid w:val="BEE90132"/>
    <w:rsid w:val="BF677BB2"/>
    <w:rsid w:val="BFEE04CB"/>
    <w:rsid w:val="BFF778C5"/>
    <w:rsid w:val="BFFC197D"/>
    <w:rsid w:val="C71D7840"/>
    <w:rsid w:val="CFA7EB9F"/>
    <w:rsid w:val="D3DDC842"/>
    <w:rsid w:val="D5F799EB"/>
    <w:rsid w:val="D6BC8A19"/>
    <w:rsid w:val="D6F63ACB"/>
    <w:rsid w:val="D9F81E10"/>
    <w:rsid w:val="DEA4F8D2"/>
    <w:rsid w:val="DECF8796"/>
    <w:rsid w:val="DF5FCC3D"/>
    <w:rsid w:val="DFEE7885"/>
    <w:rsid w:val="E2F9F60E"/>
    <w:rsid w:val="E7EF6036"/>
    <w:rsid w:val="E7FE635D"/>
    <w:rsid w:val="E93AED3D"/>
    <w:rsid w:val="EBFB990A"/>
    <w:rsid w:val="EBFF081F"/>
    <w:rsid w:val="EDBFBB15"/>
    <w:rsid w:val="EED335F6"/>
    <w:rsid w:val="EEE7743C"/>
    <w:rsid w:val="EEEF4340"/>
    <w:rsid w:val="EF9783BD"/>
    <w:rsid w:val="EFBB5B01"/>
    <w:rsid w:val="EFBF8237"/>
    <w:rsid w:val="EFE33F98"/>
    <w:rsid w:val="EFF189C8"/>
    <w:rsid w:val="F3FF347A"/>
    <w:rsid w:val="F5FC7611"/>
    <w:rsid w:val="F5FF108F"/>
    <w:rsid w:val="F76F041A"/>
    <w:rsid w:val="F772F695"/>
    <w:rsid w:val="F7F29BB1"/>
    <w:rsid w:val="F7F9BE3D"/>
    <w:rsid w:val="F7FF01A8"/>
    <w:rsid w:val="FA6F0560"/>
    <w:rsid w:val="FACBC312"/>
    <w:rsid w:val="FBC78BFC"/>
    <w:rsid w:val="FBEBA495"/>
    <w:rsid w:val="FBFC8BEF"/>
    <w:rsid w:val="FCE3C53B"/>
    <w:rsid w:val="FD8ED229"/>
    <w:rsid w:val="FDCF7E45"/>
    <w:rsid w:val="FEFEFC85"/>
    <w:rsid w:val="FF761CB6"/>
    <w:rsid w:val="FFBA9207"/>
    <w:rsid w:val="FFBC5A52"/>
    <w:rsid w:val="FFCF18BB"/>
    <w:rsid w:val="FFE02819"/>
    <w:rsid w:val="FFF7A3D3"/>
    <w:rsid w:val="FFFFD2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8"/>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7"/>
    <w:qFormat/>
    <w:uiPriority w:val="11"/>
    <w:pPr>
      <w:spacing w:before="240" w:after="240" w:line="312" w:lineRule="auto"/>
      <w:jc w:val="center"/>
      <w:outlineLvl w:val="1"/>
    </w:pPr>
    <w:rPr>
      <w:rFonts w:ascii="等线" w:hAnsi="等线" w:eastAsia="等线"/>
      <w:kern w:val="28"/>
      <w:sz w:val="40"/>
      <w:szCs w:val="40"/>
    </w:rPr>
  </w:style>
  <w:style w:type="paragraph" w:styleId="9">
    <w:name w:val="Normal (Web)"/>
    <w:basedOn w:val="1"/>
    <w:qFormat/>
    <w:uiPriority w:val="0"/>
    <w:pPr>
      <w:spacing w:beforeAutospacing="1" w:afterAutospacing="1"/>
      <w:jc w:val="left"/>
    </w:pPr>
    <w:rPr>
      <w:kern w:val="0"/>
      <w:sz w:val="24"/>
    </w:rPr>
  </w:style>
  <w:style w:type="paragraph" w:styleId="10">
    <w:name w:val="Title"/>
    <w:basedOn w:val="1"/>
    <w:next w:val="1"/>
    <w:link w:val="16"/>
    <w:qFormat/>
    <w:uiPriority w:val="10"/>
    <w:pPr>
      <w:spacing w:before="120" w:after="120"/>
      <w:jc w:val="center"/>
      <w:outlineLvl w:val="0"/>
    </w:pPr>
    <w:rPr>
      <w:rFonts w:ascii="方正小标宋简体" w:hAnsi="等线 Light" w:eastAsia="方正小标宋简体"/>
      <w:sz w:val="44"/>
      <w:szCs w:val="44"/>
    </w:rPr>
  </w:style>
  <w:style w:type="character" w:customStyle="1" w:styleId="13">
    <w:name w:val="页眉 Char"/>
    <w:basedOn w:val="12"/>
    <w:link w:val="7"/>
    <w:qFormat/>
    <w:uiPriority w:val="0"/>
    <w:rPr>
      <w:sz w:val="18"/>
      <w:szCs w:val="18"/>
    </w:rPr>
  </w:style>
  <w:style w:type="character" w:customStyle="1" w:styleId="14">
    <w:name w:val="页脚 Char"/>
    <w:basedOn w:val="12"/>
    <w:link w:val="6"/>
    <w:qFormat/>
    <w:uiPriority w:val="99"/>
    <w:rPr>
      <w:sz w:val="18"/>
      <w:szCs w:val="18"/>
    </w:rPr>
  </w:style>
  <w:style w:type="character" w:customStyle="1" w:styleId="15">
    <w:name w:val="正文文本 Char"/>
    <w:basedOn w:val="12"/>
    <w:link w:val="4"/>
    <w:qFormat/>
    <w:uiPriority w:val="0"/>
    <w:rPr>
      <w:rFonts w:ascii="Times New Roman" w:hAnsi="Times New Roman" w:eastAsia="宋体" w:cs="Times New Roman"/>
      <w:szCs w:val="24"/>
    </w:rPr>
  </w:style>
  <w:style w:type="character" w:customStyle="1" w:styleId="16">
    <w:name w:val="标题 Char"/>
    <w:basedOn w:val="12"/>
    <w:link w:val="10"/>
    <w:qFormat/>
    <w:uiPriority w:val="10"/>
    <w:rPr>
      <w:rFonts w:ascii="方正小标宋简体" w:hAnsi="等线 Light" w:eastAsia="方正小标宋简体" w:cs="Times New Roman"/>
      <w:sz w:val="44"/>
      <w:szCs w:val="44"/>
    </w:rPr>
  </w:style>
  <w:style w:type="character" w:customStyle="1" w:styleId="17">
    <w:name w:val="副标题 Char"/>
    <w:basedOn w:val="12"/>
    <w:link w:val="8"/>
    <w:qFormat/>
    <w:uiPriority w:val="11"/>
    <w:rPr>
      <w:rFonts w:ascii="等线" w:hAnsi="等线" w:eastAsia="等线" w:cs="Times New Roman"/>
      <w:kern w:val="28"/>
      <w:sz w:val="40"/>
      <w:szCs w:val="40"/>
    </w:rPr>
  </w:style>
  <w:style w:type="character" w:customStyle="1" w:styleId="18">
    <w:name w:val="批注框文本 Char"/>
    <w:basedOn w:val="12"/>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table" w:customStyle="1" w:styleId="20">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21">
    <w:name w:val="方正正文"/>
    <w:basedOn w:val="1"/>
    <w:qFormat/>
    <w:uiPriority w:val="0"/>
    <w:pPr>
      <w:snapToGrid w:val="0"/>
      <w:spacing w:line="319" w:lineRule="auto"/>
      <w:ind w:firstLine="200" w:firstLineChars="200"/>
    </w:pPr>
    <w:rPr>
      <w:rFonts w:ascii="Calibri" w:hAnsi="Calibri" w:eastAsia="方正仿宋"/>
      <w:sz w:val="32"/>
      <w:szCs w:val="22"/>
    </w:rPr>
  </w:style>
  <w:style w:type="character" w:customStyle="1" w:styleId="22">
    <w:name w:val="font11"/>
    <w:basedOn w:val="12"/>
    <w:autoRedefine/>
    <w:qFormat/>
    <w:uiPriority w:val="0"/>
    <w:rPr>
      <w:rFonts w:hint="eastAsia" w:ascii="宋体" w:hAnsi="宋体" w:eastAsia="宋体" w:cs="宋体"/>
      <w:b/>
      <w:bCs/>
      <w:color w:val="000000"/>
      <w:sz w:val="24"/>
      <w:szCs w:val="24"/>
      <w:u w:val="none"/>
    </w:rPr>
  </w:style>
  <w:style w:type="character" w:customStyle="1" w:styleId="23">
    <w:name w:val="font21"/>
    <w:basedOn w:val="12"/>
    <w:autoRedefine/>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47</Pages>
  <Words>13351</Words>
  <Characters>14076</Characters>
  <Lines>24</Lines>
  <Paragraphs>6</Paragraphs>
  <TotalTime>31</TotalTime>
  <ScaleCrop>false</ScaleCrop>
  <LinksUpToDate>false</LinksUpToDate>
  <CharactersWithSpaces>14717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2024-10-26T00:46:00Z</dcterms:created>
  <dc:creator>Windows 用户</dc:creator>
  <cp:lastModifiedBy>齐若楠</cp:lastModifiedBy>
  <cp:lastPrinted>2025-09-22T00:48:00Z</cp:lastPrinted>
  <dcterms:modified xsi:type="dcterms:W3CDTF">2025-09-30T00:46:43Z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D009EA582D364148BDFC0BEC23238523_13</vt:lpwstr>
  </property>
  <property fmtid="{D5CDD505-2E9C-101B-9397-08002B2CF9AE}" pid="4" name="KSOTemplateDocerSaveRecord">
    <vt:lpwstr>eyJoZGlkIjoiYWZmNjlhYzRkNTc4ZmI2OGJjMjM5YjU2NGQwNDQ3MTAiLCJ1c2VySWQiOiIzMzE4OTg2ODMifQ==</vt:lpwstr>
  </property>
</Properties>
</file>